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BAC" w:rsidRDefault="007F7BAC">
      <w:bookmarkStart w:id="0" w:name="_GoBack"/>
      <w:bookmarkEnd w:id="0"/>
    </w:p>
    <w:tbl>
      <w:tblPr>
        <w:tblStyle w:val="a"/>
        <w:tblW w:w="9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5"/>
      </w:tblGrid>
      <w:tr w:rsidR="007F7BAC">
        <w:tc>
          <w:tcPr>
            <w:tcW w:w="9645" w:type="dxa"/>
            <w:shd w:val="clear" w:color="auto" w:fill="00678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BAC" w:rsidRDefault="000D0685">
            <w:pPr>
              <w:widowControl w:val="0"/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Issue Summary</w:t>
            </w:r>
          </w:p>
        </w:tc>
      </w:tr>
    </w:tbl>
    <w:p w:rsidR="007F7BAC" w:rsidRDefault="007F7BAC"/>
    <w:p w:rsidR="007F7BAC" w:rsidRDefault="000D0685">
      <w:r>
        <w:t xml:space="preserve">The University of Maine System does not have system-wide definitions for course components. As campuses increasingly cross-list courses and build collaborative programs, common definitions for specific course components is essential. Five of the seven UMS campuses reported having </w:t>
      </w:r>
      <w:r w:rsidRPr="00C003E8">
        <w:t xml:space="preserve">definitions for course components </w:t>
      </w:r>
      <w:r>
        <w:t>which were used to develop the following draft definitions.</w:t>
      </w:r>
    </w:p>
    <w:p w:rsidR="007F7BAC" w:rsidRDefault="007F7BAC"/>
    <w:tbl>
      <w:tblPr>
        <w:tblStyle w:val="a0"/>
        <w:tblW w:w="96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15"/>
      </w:tblGrid>
      <w:tr w:rsidR="007F7BAC">
        <w:tc>
          <w:tcPr>
            <w:tcW w:w="9615" w:type="dxa"/>
            <w:shd w:val="clear" w:color="auto" w:fill="00678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BAC" w:rsidRDefault="000D0685">
            <w:pPr>
              <w:widowControl w:val="0"/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Recommendations</w:t>
            </w:r>
          </w:p>
        </w:tc>
      </w:tr>
    </w:tbl>
    <w:p w:rsidR="007F7BAC" w:rsidRDefault="007F7BAC"/>
    <w:p w:rsidR="007F7BAC" w:rsidRDefault="000D0685">
      <w:pPr>
        <w:numPr>
          <w:ilvl w:val="0"/>
          <w:numId w:val="1"/>
        </w:numPr>
      </w:pPr>
      <w:r>
        <w:t>Review, edit and adopt common course component definitions for the University of Maine System</w:t>
      </w:r>
    </w:p>
    <w:p w:rsidR="007F7BAC" w:rsidRDefault="000D0685">
      <w:pPr>
        <w:numPr>
          <w:ilvl w:val="0"/>
          <w:numId w:val="1"/>
        </w:numPr>
      </w:pPr>
      <w:r>
        <w:t>Integrate definitions into relevant staff training and onboarding (e.g., Registrars)</w:t>
      </w:r>
    </w:p>
    <w:p w:rsidR="007F7BAC" w:rsidRDefault="000D0685">
      <w:pPr>
        <w:numPr>
          <w:ilvl w:val="0"/>
          <w:numId w:val="1"/>
        </w:numPr>
      </w:pPr>
      <w:r>
        <w:t>Integrate definitions into faculty and department Chair training and onboarding</w:t>
      </w:r>
    </w:p>
    <w:p w:rsidR="007F7BAC" w:rsidRDefault="000D0685">
      <w:pPr>
        <w:numPr>
          <w:ilvl w:val="0"/>
          <w:numId w:val="1"/>
        </w:numPr>
      </w:pPr>
      <w:r>
        <w:t>Conduct a biennial review of definitions</w:t>
      </w:r>
    </w:p>
    <w:p w:rsidR="007F7BAC" w:rsidRDefault="007F7BAC"/>
    <w:p w:rsidR="007F7BAC" w:rsidRDefault="007F7BAC"/>
    <w:tbl>
      <w:tblPr>
        <w:tblStyle w:val="a1"/>
        <w:tblW w:w="9510" w:type="dxa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15"/>
        <w:gridCol w:w="7095"/>
      </w:tblGrid>
      <w:tr w:rsidR="007F7BAC">
        <w:trPr>
          <w:trHeight w:val="400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78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F7BAC" w:rsidRDefault="000D068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Component</w:t>
            </w:r>
          </w:p>
        </w:tc>
        <w:tc>
          <w:tcPr>
            <w:tcW w:w="7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78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F7BAC" w:rsidRDefault="000D068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Definition</w:t>
            </w:r>
          </w:p>
        </w:tc>
      </w:tr>
      <w:tr w:rsidR="007F7BAC"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C1B7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F7BAC" w:rsidRDefault="000D06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Applied Music</w:t>
            </w:r>
          </w:p>
        </w:tc>
        <w:tc>
          <w:tcPr>
            <w:tcW w:w="709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BAC" w:rsidRDefault="000D0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Course that requires music lessons and/or musical performance as part of primary learning objectives.</w:t>
            </w:r>
          </w:p>
        </w:tc>
      </w:tr>
      <w:tr w:rsidR="007F7BAC"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C1B7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F7BAC" w:rsidRDefault="000D06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Clinical</w:t>
            </w:r>
          </w:p>
        </w:tc>
        <w:tc>
          <w:tcPr>
            <w:tcW w:w="7095" w:type="dxa"/>
            <w:tcBorders>
              <w:lef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BAC" w:rsidRDefault="000D0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Course that requires a clinical experience; most often a nursing or medical course, but can include other unique clinical experiences.</w:t>
            </w:r>
          </w:p>
        </w:tc>
      </w:tr>
      <w:tr w:rsidR="007F7BAC">
        <w:trPr>
          <w:trHeight w:val="420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C1B7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F7BAC" w:rsidRDefault="000D06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Exam</w:t>
            </w:r>
          </w:p>
        </w:tc>
        <w:tc>
          <w:tcPr>
            <w:tcW w:w="7095" w:type="dxa"/>
            <w:tcBorders>
              <w:lef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BAC" w:rsidRDefault="000D0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REMOVE</w:t>
            </w:r>
          </w:p>
          <w:p w:rsidR="007F7BAC" w:rsidRDefault="000D0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No campus uses this</w:t>
            </w:r>
          </w:p>
        </w:tc>
      </w:tr>
      <w:tr w:rsidR="007F7BAC"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C1B7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F7BAC" w:rsidRDefault="000D06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Field Experience</w:t>
            </w:r>
          </w:p>
        </w:tc>
        <w:tc>
          <w:tcPr>
            <w:tcW w:w="7095" w:type="dxa"/>
            <w:tcBorders>
              <w:lef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BAC" w:rsidRDefault="000D0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highlight w:val="white"/>
              </w:rPr>
              <w:t>Course that requires internships, practicum, student teaching, co-ops, or field experiences.</w:t>
            </w:r>
          </w:p>
        </w:tc>
      </w:tr>
      <w:tr w:rsidR="007F7BAC">
        <w:trPr>
          <w:trHeight w:val="620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C1B7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F7BAC" w:rsidRDefault="000D068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Hold</w:t>
            </w:r>
          </w:p>
        </w:tc>
        <w:tc>
          <w:tcPr>
            <w:tcW w:w="7095" w:type="dxa"/>
            <w:tcBorders>
              <w:lef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BAC" w:rsidRDefault="000D0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Placeholder course component code used by Registrar offices.</w:t>
            </w:r>
          </w:p>
          <w:p w:rsidR="007F7BAC" w:rsidRDefault="007F7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</w:p>
        </w:tc>
      </w:tr>
      <w:tr w:rsidR="007F7BAC"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C1B7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F7BAC" w:rsidRDefault="000D06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Independent Study</w:t>
            </w:r>
          </w:p>
        </w:tc>
        <w:tc>
          <w:tcPr>
            <w:tcW w:w="7095" w:type="dxa"/>
            <w:tcBorders>
              <w:lef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BAC" w:rsidRDefault="000D0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Independent or directed study course in which no catalog equivalent is available.</w:t>
            </w:r>
          </w:p>
        </w:tc>
      </w:tr>
      <w:tr w:rsidR="007F7BAC">
        <w:trPr>
          <w:trHeight w:val="500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C1B7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F7BAC" w:rsidRDefault="000D06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Internet</w:t>
            </w:r>
          </w:p>
        </w:tc>
        <w:tc>
          <w:tcPr>
            <w:tcW w:w="7095" w:type="dxa"/>
            <w:tcBorders>
              <w:lef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BAC" w:rsidRDefault="000D0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REMOVE</w:t>
            </w:r>
          </w:p>
          <w:p w:rsidR="007F7BAC" w:rsidRDefault="000D0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Captured in instruction modes</w:t>
            </w:r>
          </w:p>
        </w:tc>
      </w:tr>
      <w:tr w:rsidR="007F7BAC"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C1B7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F7BAC" w:rsidRDefault="000D06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Laboratory</w:t>
            </w:r>
          </w:p>
        </w:tc>
        <w:tc>
          <w:tcPr>
            <w:tcW w:w="7095" w:type="dxa"/>
            <w:tcBorders>
              <w:lef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BAC" w:rsidRDefault="000D0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Course that meets separately from a lecture component; most often used for science, math and nursing courses, but can include other </w:t>
            </w:r>
            <w:r>
              <w:lastRenderedPageBreak/>
              <w:t>unique lab experiences.</w:t>
            </w:r>
          </w:p>
        </w:tc>
      </w:tr>
      <w:tr w:rsidR="007F7BAC"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C1B7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F7BAC" w:rsidRDefault="000D06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lastRenderedPageBreak/>
              <w:t>Lecture</w:t>
            </w:r>
          </w:p>
        </w:tc>
        <w:tc>
          <w:tcPr>
            <w:tcW w:w="7095" w:type="dxa"/>
            <w:tcBorders>
              <w:lef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BAC" w:rsidRDefault="000D0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t xml:space="preserve">Course that delivers all course material through lecture and lecture activities; </w:t>
            </w:r>
            <w:r>
              <w:rPr>
                <w:b/>
              </w:rPr>
              <w:t>default course component.</w:t>
            </w:r>
          </w:p>
        </w:tc>
      </w:tr>
      <w:tr w:rsidR="007F7BAC"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C1B7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F7BAC" w:rsidRDefault="000D06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PE Activity</w:t>
            </w:r>
          </w:p>
        </w:tc>
        <w:tc>
          <w:tcPr>
            <w:tcW w:w="7095" w:type="dxa"/>
            <w:tcBorders>
              <w:lef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BAC" w:rsidRDefault="000D0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Course that requires physical education as part of primary learning objectives.</w:t>
            </w:r>
          </w:p>
        </w:tc>
      </w:tr>
      <w:tr w:rsidR="007F7BAC"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C1B7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F7BAC" w:rsidRDefault="000D06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Recitation</w:t>
            </w:r>
          </w:p>
        </w:tc>
        <w:tc>
          <w:tcPr>
            <w:tcW w:w="7095" w:type="dxa"/>
            <w:tcBorders>
              <w:lef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BAC" w:rsidRDefault="000D0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Additional meeting time required for students to go over material w/instructor or assistant.</w:t>
            </w:r>
          </w:p>
        </w:tc>
      </w:tr>
      <w:tr w:rsidR="007F7BAC"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C1B7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F7BAC" w:rsidRDefault="000D06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Research</w:t>
            </w:r>
          </w:p>
        </w:tc>
        <w:tc>
          <w:tcPr>
            <w:tcW w:w="7095" w:type="dxa"/>
            <w:tcBorders>
              <w:lef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BAC" w:rsidRDefault="000D0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Course that requires academic or field research as part of primary learning objectives.</w:t>
            </w:r>
          </w:p>
        </w:tc>
      </w:tr>
      <w:tr w:rsidR="007F7BAC"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C1B7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F7BAC" w:rsidRDefault="000D06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Seminar</w:t>
            </w:r>
          </w:p>
        </w:tc>
        <w:tc>
          <w:tcPr>
            <w:tcW w:w="7095" w:type="dxa"/>
            <w:tcBorders>
              <w:lef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BAC" w:rsidRDefault="000D0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Course that uses class discussion (instead of lecture) as the primary course format, and often has smaller class sizes.</w:t>
            </w:r>
          </w:p>
        </w:tc>
      </w:tr>
      <w:tr w:rsidR="007F7BAC"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C1B7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F7BAC" w:rsidRDefault="000D06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Studio</w:t>
            </w:r>
          </w:p>
        </w:tc>
        <w:tc>
          <w:tcPr>
            <w:tcW w:w="7095" w:type="dxa"/>
            <w:tcBorders>
              <w:lef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BAC" w:rsidRDefault="000D0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Course that requires hands on art or media as part of primary learning objectives.</w:t>
            </w:r>
          </w:p>
        </w:tc>
      </w:tr>
      <w:tr w:rsidR="007F7BAC"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C1B7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F7BAC" w:rsidRDefault="000D06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Thesis</w:t>
            </w:r>
          </w:p>
        </w:tc>
        <w:tc>
          <w:tcPr>
            <w:tcW w:w="7095" w:type="dxa"/>
            <w:tcBorders>
              <w:lef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BAC" w:rsidRDefault="000D0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Independent upper level research course most often designed as a capstone or final project/paper in a student’s academic career.</w:t>
            </w:r>
          </w:p>
        </w:tc>
      </w:tr>
      <w:tr w:rsidR="007F7BAC">
        <w:trPr>
          <w:trHeight w:val="760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C1B7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F7BAC" w:rsidRDefault="000D06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Travel Course</w:t>
            </w:r>
          </w:p>
        </w:tc>
        <w:tc>
          <w:tcPr>
            <w:tcW w:w="7095" w:type="dxa"/>
            <w:tcBorders>
              <w:lef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BAC" w:rsidRDefault="000D0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Course that requires short term travel as part of primary learning objectives.</w:t>
            </w:r>
          </w:p>
        </w:tc>
      </w:tr>
    </w:tbl>
    <w:p w:rsidR="007F7BAC" w:rsidRDefault="007F7BAC"/>
    <w:sectPr w:rsidR="007F7BAC">
      <w:head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D9E" w:rsidRDefault="00AF2D9E">
      <w:pPr>
        <w:spacing w:line="240" w:lineRule="auto"/>
      </w:pPr>
      <w:r>
        <w:separator/>
      </w:r>
    </w:p>
  </w:endnote>
  <w:endnote w:type="continuationSeparator" w:id="0">
    <w:p w:rsidR="00AF2D9E" w:rsidRDefault="00AF2D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BAC" w:rsidRDefault="007F7BA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D9E" w:rsidRDefault="00AF2D9E">
      <w:pPr>
        <w:spacing w:line="240" w:lineRule="auto"/>
      </w:pPr>
      <w:r>
        <w:separator/>
      </w:r>
    </w:p>
  </w:footnote>
  <w:footnote w:type="continuationSeparator" w:id="0">
    <w:p w:rsidR="00AF2D9E" w:rsidRDefault="00AF2D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BAC" w:rsidRDefault="000D0685">
    <w:pPr>
      <w:tabs>
        <w:tab w:val="right" w:pos="9720"/>
      </w:tabs>
      <w:spacing w:before="300" w:line="268" w:lineRule="auto"/>
      <w:ind w:right="-360"/>
      <w:rPr>
        <w:b/>
        <w:sz w:val="28"/>
        <w:szCs w:val="28"/>
      </w:rPr>
    </w:pPr>
    <w:r>
      <w:tab/>
    </w:r>
    <w:r>
      <w:rPr>
        <w:b/>
        <w:sz w:val="28"/>
        <w:szCs w:val="28"/>
      </w:rPr>
      <w:t xml:space="preserve">System-Wide Course Components </w:t>
    </w:r>
    <w:r>
      <w:rPr>
        <w:noProof/>
        <w:lang w:val="en-US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114300</wp:posOffset>
          </wp:positionV>
          <wp:extent cx="1862138" cy="790575"/>
          <wp:effectExtent l="0" t="0" r="0" b="0"/>
          <wp:wrapSquare wrapText="bothSides" distT="0" distB="0" distL="0" distR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2138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F7BAC" w:rsidRDefault="000D0685">
    <w:pPr>
      <w:tabs>
        <w:tab w:val="right" w:pos="9720"/>
      </w:tabs>
      <w:spacing w:after="300" w:line="268" w:lineRule="auto"/>
      <w:ind w:right="-360"/>
      <w:jc w:val="right"/>
    </w:pPr>
    <w:r>
      <w:rPr>
        <w:b/>
        <w:sz w:val="24"/>
        <w:szCs w:val="24"/>
      </w:rPr>
      <w:t>Definitions for Implementation</w:t>
    </w:r>
  </w:p>
  <w:p w:rsidR="007F7BAC" w:rsidRDefault="007F7BA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BAC" w:rsidRDefault="000D0685">
    <w:pPr>
      <w:tabs>
        <w:tab w:val="right" w:pos="9720"/>
      </w:tabs>
      <w:spacing w:before="300" w:line="268" w:lineRule="auto"/>
      <w:ind w:right="-360"/>
      <w:rPr>
        <w:b/>
        <w:sz w:val="28"/>
        <w:szCs w:val="28"/>
      </w:rPr>
    </w:pPr>
    <w:r>
      <w:tab/>
    </w:r>
    <w:r>
      <w:rPr>
        <w:b/>
        <w:sz w:val="28"/>
        <w:szCs w:val="28"/>
      </w:rPr>
      <w:t xml:space="preserve">System-Wide Course Components </w:t>
    </w:r>
    <w:r>
      <w:rPr>
        <w:noProof/>
        <w:lang w:val="en-US"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114300</wp:posOffset>
          </wp:positionV>
          <wp:extent cx="1862138" cy="79057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2138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F7BAC" w:rsidRDefault="000D0685">
    <w:pPr>
      <w:tabs>
        <w:tab w:val="right" w:pos="9720"/>
      </w:tabs>
      <w:spacing w:after="300" w:line="268" w:lineRule="auto"/>
      <w:ind w:right="-360"/>
      <w:jc w:val="right"/>
      <w:rPr>
        <w:b/>
        <w:sz w:val="24"/>
        <w:szCs w:val="24"/>
      </w:rPr>
    </w:pPr>
    <w:r>
      <w:rPr>
        <w:b/>
        <w:sz w:val="24"/>
        <w:szCs w:val="24"/>
      </w:rPr>
      <w:t xml:space="preserve">Stakeholder Feedback Request </w:t>
    </w:r>
  </w:p>
  <w:p w:rsidR="007F7BAC" w:rsidRDefault="007F7BAC">
    <w:pPr>
      <w:tabs>
        <w:tab w:val="right" w:pos="9720"/>
      </w:tabs>
      <w:spacing w:after="300" w:line="268" w:lineRule="auto"/>
      <w:ind w:right="-360"/>
      <w:jc w:val="right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92408"/>
    <w:multiLevelType w:val="multilevel"/>
    <w:tmpl w:val="DCB0F71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BAC"/>
    <w:rsid w:val="000D0685"/>
    <w:rsid w:val="00441E3D"/>
    <w:rsid w:val="007F7BAC"/>
    <w:rsid w:val="00AF2D9E"/>
    <w:rsid w:val="00C0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81F686-3E32-460B-8759-342524D57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Maine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D Campbell</dc:creator>
  <cp:lastModifiedBy>Jack D. Campbell</cp:lastModifiedBy>
  <cp:revision>2</cp:revision>
  <dcterms:created xsi:type="dcterms:W3CDTF">2019-09-27T18:56:00Z</dcterms:created>
  <dcterms:modified xsi:type="dcterms:W3CDTF">2019-09-27T18:56:00Z</dcterms:modified>
</cp:coreProperties>
</file>