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D6" w:rsidRPr="00D77C46" w:rsidRDefault="0018736C" w:rsidP="00193253">
      <w:pPr>
        <w:pStyle w:val="Heading2"/>
        <w:rPr>
          <w:sz w:val="28"/>
        </w:rPr>
      </w:pPr>
      <w:bookmarkStart w:id="0" w:name="_GoBack"/>
      <w:bookmarkEnd w:id="0"/>
      <w:r>
        <w:rPr>
          <w:sz w:val="28"/>
        </w:rPr>
        <w:t>D</w:t>
      </w:r>
      <w:r w:rsidR="006567D6" w:rsidRPr="00D77C46">
        <w:rPr>
          <w:sz w:val="28"/>
        </w:rPr>
        <w:t xml:space="preserve">ual </w:t>
      </w:r>
      <w:r w:rsidR="00422F9A" w:rsidRPr="00D77C46">
        <w:rPr>
          <w:sz w:val="28"/>
        </w:rPr>
        <w:t>Master’s</w:t>
      </w:r>
      <w:r w:rsidR="00C63856" w:rsidRPr="00D77C46">
        <w:rPr>
          <w:sz w:val="28"/>
        </w:rPr>
        <w:t xml:space="preserve"> D</w:t>
      </w:r>
      <w:r w:rsidR="006567D6" w:rsidRPr="00D77C46">
        <w:rPr>
          <w:sz w:val="28"/>
        </w:rPr>
        <w:t xml:space="preserve">egree in </w:t>
      </w:r>
      <w:r w:rsidR="00C63856" w:rsidRPr="00D77C46">
        <w:rPr>
          <w:sz w:val="28"/>
        </w:rPr>
        <w:t>Global Policy and Economics</w:t>
      </w:r>
      <w:r w:rsidR="003A0708" w:rsidRPr="00D77C46">
        <w:rPr>
          <w:sz w:val="28"/>
        </w:rPr>
        <w:t xml:space="preserve"> or R</w:t>
      </w:r>
      <w:r w:rsidR="00C63856" w:rsidRPr="00D77C46">
        <w:rPr>
          <w:sz w:val="28"/>
        </w:rPr>
        <w:t>esource Economics and Policy</w:t>
      </w:r>
    </w:p>
    <w:p w:rsidR="006567D6" w:rsidRDefault="006567D6" w:rsidP="006567D6">
      <w:pPr>
        <w:pStyle w:val="NormalWeb"/>
      </w:pPr>
      <w:r>
        <w:t xml:space="preserve">The School of </w:t>
      </w:r>
      <w:r w:rsidR="00C63856">
        <w:t>Policy and International Affairs</w:t>
      </w:r>
      <w:r w:rsidR="003D2C53">
        <w:t xml:space="preserve"> (SPIA)</w:t>
      </w:r>
      <w:r w:rsidR="00C63856">
        <w:t xml:space="preserve">, </w:t>
      </w:r>
      <w:r w:rsidR="00FE325F">
        <w:t xml:space="preserve">along with the School of </w:t>
      </w:r>
      <w:r w:rsidR="00C63856">
        <w:t xml:space="preserve">Economics </w:t>
      </w:r>
      <w:r w:rsidR="003D2C53">
        <w:t xml:space="preserve">(SOE) </w:t>
      </w:r>
      <w:r>
        <w:t>offers a</w:t>
      </w:r>
      <w:r w:rsidR="00EF070C">
        <w:t>n</w:t>
      </w:r>
      <w:r>
        <w:t xml:space="preserve"> interdisciplinary dual degree program in </w:t>
      </w:r>
      <w:r w:rsidR="00C63856">
        <w:t>Global P</w:t>
      </w:r>
      <w:r>
        <w:t xml:space="preserve">olicy and </w:t>
      </w:r>
      <w:r w:rsidR="00C63856">
        <w:t>either Economics or Resource Economics and Policy</w:t>
      </w:r>
      <w:r>
        <w:t xml:space="preserve">. The dual-degree program is intended for students interested in the application of </w:t>
      </w:r>
      <w:r w:rsidR="00C63856">
        <w:t xml:space="preserve">economics </w:t>
      </w:r>
      <w:r>
        <w:t xml:space="preserve">and policy in </w:t>
      </w:r>
      <w:r w:rsidR="00C63856">
        <w:t xml:space="preserve">an </w:t>
      </w:r>
      <w:r w:rsidR="00422F9A">
        <w:t>international</w:t>
      </w:r>
      <w:r w:rsidR="00C63856">
        <w:t xml:space="preserve"> setting</w:t>
      </w:r>
      <w:r>
        <w:t xml:space="preserve">. The course of study is normally three years. It leads to two master's degrees: one in </w:t>
      </w:r>
      <w:r w:rsidR="00C63856">
        <w:t>Global Policy</w:t>
      </w:r>
      <w:r>
        <w:t xml:space="preserve"> (</w:t>
      </w:r>
      <w:r w:rsidR="00C63856">
        <w:t xml:space="preserve">with a concentration in either </w:t>
      </w:r>
      <w:r w:rsidR="00EF070C">
        <w:rPr>
          <w:i/>
        </w:rPr>
        <w:t xml:space="preserve">International </w:t>
      </w:r>
      <w:r w:rsidR="00C63856">
        <w:rPr>
          <w:i/>
        </w:rPr>
        <w:t>Trade and Commerce</w:t>
      </w:r>
      <w:r w:rsidR="00C63856">
        <w:t xml:space="preserve"> or </w:t>
      </w:r>
      <w:r w:rsidR="00C63856">
        <w:rPr>
          <w:i/>
        </w:rPr>
        <w:t>International Environmental Policy</w:t>
      </w:r>
      <w:r>
        <w:t xml:space="preserve">) and one in </w:t>
      </w:r>
      <w:r w:rsidR="00C63856">
        <w:t>either Economics or Resource Economics and Policy</w:t>
      </w:r>
      <w:r>
        <w:t>.</w:t>
      </w:r>
    </w:p>
    <w:p w:rsidR="006567D6" w:rsidRDefault="006567D6" w:rsidP="006567D6">
      <w:pPr>
        <w:pStyle w:val="NormalWeb"/>
      </w:pPr>
      <w:r>
        <w:t xml:space="preserve">Students are required to complete the requirements for a master's degree in one of the </w:t>
      </w:r>
      <w:r w:rsidR="00EF070C">
        <w:t>e</w:t>
      </w:r>
      <w:r w:rsidR="00C63856">
        <w:t xml:space="preserve">conomic sciences </w:t>
      </w:r>
      <w:r>
        <w:t>(</w:t>
      </w:r>
      <w:r w:rsidR="00C63856">
        <w:t>Economics; Resource Economics and Policy</w:t>
      </w:r>
      <w:r>
        <w:t xml:space="preserve">) and the requirements for </w:t>
      </w:r>
      <w:r w:rsidR="00C63856">
        <w:t xml:space="preserve">either the </w:t>
      </w:r>
      <w:r w:rsidR="00C63856" w:rsidRPr="00C63856">
        <w:t xml:space="preserve">Trade and Commerce or International Environmental Policy </w:t>
      </w:r>
      <w:r w:rsidR="00C63856">
        <w:t xml:space="preserve">concentrations within the Global Policy </w:t>
      </w:r>
      <w:r>
        <w:t>degree. Six hours of each degree can be counted as electives for the other</w:t>
      </w:r>
      <w:r w:rsidR="00EF070C">
        <w:t xml:space="preserve"> (i.e., a total of 12 credits can be double counted)</w:t>
      </w:r>
      <w:r>
        <w:t xml:space="preserve">; as a result a total of only </w:t>
      </w:r>
      <w:r w:rsidR="00C63856">
        <w:t>51</w:t>
      </w:r>
      <w:r>
        <w:t xml:space="preserve"> hours is required to complete both degrees (rather than the 6</w:t>
      </w:r>
      <w:r w:rsidR="00C63856">
        <w:t>3</w:t>
      </w:r>
      <w:r>
        <w:t xml:space="preserve"> usually required for two completely independent masters degrees). </w:t>
      </w:r>
    </w:p>
    <w:p w:rsidR="006567D6" w:rsidRDefault="006567D6" w:rsidP="006567D6">
      <w:pPr>
        <w:pStyle w:val="NormalWeb"/>
      </w:pPr>
      <w:r>
        <w:t xml:space="preserve">Students in the dual-degree program may fulfill the thesis/internship requirements for the two degrees in one of three ways. </w:t>
      </w:r>
    </w:p>
    <w:p w:rsidR="006567D6" w:rsidRDefault="00C63856" w:rsidP="006567D6">
      <w:pPr>
        <w:numPr>
          <w:ilvl w:val="0"/>
          <w:numId w:val="2"/>
        </w:numPr>
        <w:spacing w:before="100" w:beforeAutospacing="1" w:after="100" w:afterAutospacing="1"/>
      </w:pPr>
      <w:r>
        <w:t xml:space="preserve">For thesis students in the Economics program: </w:t>
      </w:r>
      <w:r w:rsidR="00EF070C">
        <w:t>a</w:t>
      </w:r>
      <w:r w:rsidR="006567D6">
        <w:t xml:space="preserve"> thesis </w:t>
      </w:r>
      <w:r w:rsidR="00EF070C">
        <w:t xml:space="preserve">is </w:t>
      </w:r>
      <w:r w:rsidR="006567D6">
        <w:t xml:space="preserve">written for the </w:t>
      </w:r>
      <w:r w:rsidR="00EF070C">
        <w:t>e</w:t>
      </w:r>
      <w:r>
        <w:t>conomics</w:t>
      </w:r>
      <w:r w:rsidR="006567D6">
        <w:t xml:space="preserve"> degree</w:t>
      </w:r>
      <w:r w:rsidR="00EF070C">
        <w:t xml:space="preserve">; </w:t>
      </w:r>
      <w:r w:rsidR="006567D6">
        <w:t xml:space="preserve">an internship </w:t>
      </w:r>
      <w:r w:rsidR="00EF070C">
        <w:t xml:space="preserve">is </w:t>
      </w:r>
      <w:r w:rsidR="006567D6">
        <w:t xml:space="preserve">completed for the </w:t>
      </w:r>
      <w:r>
        <w:t>Global P</w:t>
      </w:r>
      <w:r w:rsidR="006567D6">
        <w:t xml:space="preserve">olicy degree. </w:t>
      </w:r>
    </w:p>
    <w:p w:rsidR="006567D6" w:rsidRDefault="00C63856" w:rsidP="006567D6">
      <w:pPr>
        <w:numPr>
          <w:ilvl w:val="0"/>
          <w:numId w:val="2"/>
        </w:numPr>
        <w:spacing w:before="100" w:beforeAutospacing="1" w:after="100" w:afterAutospacing="1"/>
      </w:pPr>
      <w:r>
        <w:t xml:space="preserve">For non-thesis students in the Economics program: </w:t>
      </w:r>
      <w:r w:rsidR="00EF070C">
        <w:t>s</w:t>
      </w:r>
      <w:r>
        <w:t xml:space="preserve">ix credit hours in coursework replace the thesis requirement for the </w:t>
      </w:r>
      <w:r w:rsidR="00EF070C">
        <w:t>e</w:t>
      </w:r>
      <w:r>
        <w:t>conomic</w:t>
      </w:r>
      <w:r w:rsidR="00EF070C">
        <w:t>s</w:t>
      </w:r>
      <w:r>
        <w:t xml:space="preserve"> degree</w:t>
      </w:r>
      <w:r w:rsidR="00EF070C">
        <w:t xml:space="preserve">; </w:t>
      </w:r>
      <w:r>
        <w:t xml:space="preserve">an internship </w:t>
      </w:r>
      <w:r w:rsidR="00EF070C">
        <w:t xml:space="preserve">is </w:t>
      </w:r>
      <w:r>
        <w:t>completed for the Global Policy degree.</w:t>
      </w:r>
    </w:p>
    <w:p w:rsidR="00EF070C" w:rsidRDefault="00EF070C" w:rsidP="006567D6">
      <w:pPr>
        <w:numPr>
          <w:ilvl w:val="0"/>
          <w:numId w:val="2"/>
        </w:numPr>
        <w:spacing w:before="100" w:beforeAutospacing="1" w:after="100" w:afterAutospacing="1"/>
      </w:pPr>
      <w:r>
        <w:t>A separate thesis may be written for the economics degree and for the Global Policy degree.</w:t>
      </w:r>
    </w:p>
    <w:p w:rsidR="006567D6" w:rsidRDefault="006567D6" w:rsidP="006567D6">
      <w:pPr>
        <w:pStyle w:val="NormalWeb"/>
      </w:pPr>
      <w:r>
        <w:t xml:space="preserve">Students in the dual-degree program will have two graduate </w:t>
      </w:r>
      <w:r w:rsidR="00EF070C">
        <w:t>coordinators</w:t>
      </w:r>
      <w:r>
        <w:t xml:space="preserve">, one from </w:t>
      </w:r>
      <w:r w:rsidR="003D2C53">
        <w:t xml:space="preserve">SPIA </w:t>
      </w:r>
      <w:r>
        <w:t xml:space="preserve">and one </w:t>
      </w:r>
      <w:r w:rsidR="003D2C53">
        <w:t>from SOE</w:t>
      </w:r>
      <w:r>
        <w:t xml:space="preserve">. </w:t>
      </w:r>
      <w:r w:rsidR="00EF070C">
        <w:t>G</w:t>
      </w:r>
      <w:r>
        <w:t>raduate advis</w:t>
      </w:r>
      <w:r w:rsidR="00EF070C">
        <w:t>ing</w:t>
      </w:r>
      <w:r>
        <w:t xml:space="preserve"> </w:t>
      </w:r>
      <w:r w:rsidR="00EF070C">
        <w:t>committees, whether thesis or non-thesis, must comply with the rules outlined for each graduate degree</w:t>
      </w:r>
      <w:r>
        <w:t xml:space="preserve">. A program of study for each degree, including thesis </w:t>
      </w:r>
      <w:r w:rsidR="003D2C53">
        <w:t xml:space="preserve">and internship </w:t>
      </w:r>
      <w:r>
        <w:t xml:space="preserve">plans, must be developed and approved by the </w:t>
      </w:r>
      <w:r w:rsidR="00EF070C">
        <w:t>respective unit</w:t>
      </w:r>
      <w:r w:rsidR="00276149">
        <w:t>’</w:t>
      </w:r>
      <w:r w:rsidR="00EF070C">
        <w:t xml:space="preserve">s </w:t>
      </w:r>
      <w:r>
        <w:t xml:space="preserve">committee </w:t>
      </w:r>
      <w:r w:rsidR="00EF070C">
        <w:t xml:space="preserve">(SPIA or SOE) </w:t>
      </w:r>
      <w:r>
        <w:t>and the respective graduate program coordinators by the end of the second semester of the student’s tenure in the program.</w:t>
      </w:r>
    </w:p>
    <w:p w:rsidR="006567D6" w:rsidRDefault="006567D6" w:rsidP="006567D6">
      <w:pPr>
        <w:pStyle w:val="Heading3"/>
      </w:pPr>
      <w:r>
        <w:t>Programs of study</w:t>
      </w:r>
    </w:p>
    <w:p w:rsidR="003D2C53" w:rsidRDefault="006567D6" w:rsidP="006567D6">
      <w:pPr>
        <w:spacing w:after="240"/>
      </w:pPr>
      <w:r>
        <w:t>Each student’s program of study will be designed to meet the requirements of both degrees in which they are enrolled. However the dual degree program gives the student</w:t>
      </w:r>
      <w:r w:rsidR="00EF070C">
        <w:t>,</w:t>
      </w:r>
      <w:r>
        <w:t xml:space="preserve"> and his or her committee</w:t>
      </w:r>
      <w:r w:rsidR="00EF070C">
        <w:t>,</w:t>
      </w:r>
      <w:r>
        <w:t xml:space="preserve"> </w:t>
      </w:r>
      <w:r w:rsidR="003D2C53">
        <w:t xml:space="preserve">some </w:t>
      </w:r>
      <w:r>
        <w:t xml:space="preserve">latitude to devise a program that </w:t>
      </w:r>
      <w:r w:rsidR="003D2C53">
        <w:t>supports the needs of the student</w:t>
      </w:r>
      <w:r>
        <w:t>. Sample programs of study are listed here for illustration:</w:t>
      </w:r>
      <w:r>
        <w:br/>
      </w:r>
    </w:p>
    <w:p w:rsidR="006567D6" w:rsidRDefault="003D2C53" w:rsidP="006567D6">
      <w:pPr>
        <w:spacing w:after="240"/>
      </w:pPr>
      <w:r>
        <w:br w:type="page"/>
      </w:r>
      <w:r w:rsidR="006567D6">
        <w:lastRenderedPageBreak/>
        <w:t>For a student enrolled in the dual degree program</w:t>
      </w:r>
      <w:r w:rsidR="00925ECB">
        <w:t xml:space="preserve"> in M</w:t>
      </w:r>
      <w:r w:rsidR="00FE325F">
        <w:t>.</w:t>
      </w:r>
      <w:r w:rsidR="00925ECB">
        <w:t xml:space="preserve">A. </w:t>
      </w:r>
      <w:r>
        <w:t>Economics</w:t>
      </w:r>
      <w:r w:rsidR="006567D6">
        <w:t xml:space="preserve"> and </w:t>
      </w:r>
      <w:r w:rsidR="00925ECB">
        <w:t xml:space="preserve">M.A. </w:t>
      </w:r>
      <w:r>
        <w:t>Global Policy</w:t>
      </w:r>
      <w:r w:rsidR="00925ECB">
        <w:t xml:space="preserve">: </w:t>
      </w:r>
      <w:r w:rsidR="00422F9A">
        <w:t>International</w:t>
      </w:r>
      <w:r w:rsidR="00EF070C">
        <w:t xml:space="preserve"> </w:t>
      </w:r>
      <w:r w:rsidR="00925ECB">
        <w:t>Trade and Commerce concentration</w:t>
      </w:r>
      <w:r w:rsidR="00871665">
        <w:t xml:space="preserve"> (courses are 3 credits unless noted)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888"/>
      </w:tblGrid>
      <w:tr w:rsidR="003D2C53" w:rsidRPr="00D77C46">
        <w:tc>
          <w:tcPr>
            <w:tcW w:w="4968" w:type="dxa"/>
            <w:shd w:val="clear" w:color="auto" w:fill="auto"/>
          </w:tcPr>
          <w:p w:rsidR="003D2C53" w:rsidRPr="00D77C46" w:rsidRDefault="00925ECB" w:rsidP="003D2C53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77C4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SPIA (27 credits total)</w:t>
            </w:r>
          </w:p>
        </w:tc>
        <w:tc>
          <w:tcPr>
            <w:tcW w:w="3888" w:type="dxa"/>
            <w:shd w:val="clear" w:color="auto" w:fill="auto"/>
          </w:tcPr>
          <w:p w:rsidR="003D2C53" w:rsidRPr="00D77C46" w:rsidRDefault="00925ECB" w:rsidP="003D2C53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77C4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SOE (24 credits total)</w:t>
            </w:r>
          </w:p>
        </w:tc>
      </w:tr>
      <w:tr w:rsidR="003D2C53" w:rsidRPr="00D77C46">
        <w:trPr>
          <w:trHeight w:val="288"/>
        </w:trPr>
        <w:tc>
          <w:tcPr>
            <w:tcW w:w="4968" w:type="dxa"/>
            <w:shd w:val="clear" w:color="auto" w:fill="auto"/>
          </w:tcPr>
          <w:p w:rsidR="003D2C53" w:rsidRPr="00D77C46" w:rsidRDefault="003D2C53" w:rsidP="0087166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>SPI 501 Methods of Inquiry and Research</w:t>
            </w:r>
          </w:p>
        </w:tc>
        <w:tc>
          <w:tcPr>
            <w:tcW w:w="3888" w:type="dxa"/>
            <w:shd w:val="clear" w:color="auto" w:fill="auto"/>
          </w:tcPr>
          <w:p w:rsidR="003D2C53" w:rsidRPr="00D77C46" w:rsidRDefault="00871665" w:rsidP="00D77C46">
            <w:pPr>
              <w:pStyle w:val="PlainText"/>
              <w:tabs>
                <w:tab w:val="left" w:pos="3600"/>
                <w:tab w:val="left" w:pos="4500"/>
              </w:tabs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77C4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ECO 514 Microeconomic Theory I</w:t>
            </w:r>
          </w:p>
        </w:tc>
      </w:tr>
      <w:tr w:rsidR="003D2C53" w:rsidRPr="00D77C46">
        <w:tc>
          <w:tcPr>
            <w:tcW w:w="4968" w:type="dxa"/>
            <w:shd w:val="clear" w:color="auto" w:fill="auto"/>
          </w:tcPr>
          <w:p w:rsidR="003D2C53" w:rsidRPr="00D77C46" w:rsidRDefault="003D2C53" w:rsidP="00871665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>SPI 502 Contemporary Issues in World Economy</w:t>
            </w:r>
          </w:p>
        </w:tc>
        <w:tc>
          <w:tcPr>
            <w:tcW w:w="3888" w:type="dxa"/>
            <w:shd w:val="clear" w:color="auto" w:fill="auto"/>
          </w:tcPr>
          <w:p w:rsidR="003D2C53" w:rsidRPr="00D77C46" w:rsidRDefault="00871665" w:rsidP="00D77C46">
            <w:pPr>
              <w:pStyle w:val="PlainText"/>
              <w:tabs>
                <w:tab w:val="left" w:pos="3600"/>
                <w:tab w:val="left" w:pos="4500"/>
              </w:tabs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77C4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ECO 515 Microeconomic Theory II </w:t>
            </w:r>
          </w:p>
        </w:tc>
      </w:tr>
      <w:tr w:rsidR="003D2C53" w:rsidRPr="00D77C46">
        <w:tc>
          <w:tcPr>
            <w:tcW w:w="4968" w:type="dxa"/>
            <w:shd w:val="clear" w:color="auto" w:fill="auto"/>
          </w:tcPr>
          <w:p w:rsidR="003D2C53" w:rsidRPr="00D77C46" w:rsidRDefault="003D2C53" w:rsidP="00871665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>SPI 503 Contemporary International Relations</w:t>
            </w:r>
          </w:p>
        </w:tc>
        <w:tc>
          <w:tcPr>
            <w:tcW w:w="3888" w:type="dxa"/>
            <w:shd w:val="clear" w:color="auto" w:fill="auto"/>
          </w:tcPr>
          <w:p w:rsidR="003D2C53" w:rsidRPr="00D77C46" w:rsidRDefault="00871665" w:rsidP="00D77C46">
            <w:pPr>
              <w:pStyle w:val="PlainText"/>
              <w:tabs>
                <w:tab w:val="left" w:pos="3600"/>
                <w:tab w:val="left" w:pos="4500"/>
              </w:tabs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77C4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ECO 530 Econometrics I</w:t>
            </w:r>
          </w:p>
        </w:tc>
      </w:tr>
      <w:tr w:rsidR="003D2C53" w:rsidRPr="00D77C46">
        <w:tc>
          <w:tcPr>
            <w:tcW w:w="4968" w:type="dxa"/>
            <w:shd w:val="clear" w:color="auto" w:fill="auto"/>
          </w:tcPr>
          <w:p w:rsidR="003D2C53" w:rsidRPr="00D77C46" w:rsidRDefault="003D2C53" w:rsidP="00871665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>SPI 504 Global Justice</w:t>
            </w:r>
          </w:p>
        </w:tc>
        <w:tc>
          <w:tcPr>
            <w:tcW w:w="3888" w:type="dxa"/>
            <w:shd w:val="clear" w:color="auto" w:fill="auto"/>
          </w:tcPr>
          <w:p w:rsidR="003D2C53" w:rsidRPr="00D77C46" w:rsidRDefault="00871665" w:rsidP="00D77C46">
            <w:pPr>
              <w:pStyle w:val="PlainText"/>
              <w:tabs>
                <w:tab w:val="left" w:pos="3600"/>
                <w:tab w:val="left" w:pos="4500"/>
              </w:tabs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>ECO 531 Econometrics II</w:t>
            </w:r>
          </w:p>
        </w:tc>
      </w:tr>
      <w:tr w:rsidR="003D2C53" w:rsidRPr="00D77C46">
        <w:tc>
          <w:tcPr>
            <w:tcW w:w="4968" w:type="dxa"/>
            <w:shd w:val="clear" w:color="auto" w:fill="auto"/>
          </w:tcPr>
          <w:p w:rsidR="003D2C53" w:rsidRPr="00D77C46" w:rsidRDefault="003D2C53" w:rsidP="00871665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>SPI 510 Public Service Seminar (1 cr</w:t>
            </w:r>
            <w:r w:rsidR="00871665" w:rsidRPr="00D77C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88" w:type="dxa"/>
            <w:shd w:val="clear" w:color="auto" w:fill="auto"/>
          </w:tcPr>
          <w:p w:rsidR="003D2C53" w:rsidRPr="00D77C46" w:rsidRDefault="00871665" w:rsidP="0087166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 xml:space="preserve">ECO 511 Macroeconomic Theory </w:t>
            </w:r>
          </w:p>
        </w:tc>
      </w:tr>
      <w:tr w:rsidR="003D2C53" w:rsidRPr="00D77C46">
        <w:tc>
          <w:tcPr>
            <w:tcW w:w="4968" w:type="dxa"/>
            <w:shd w:val="clear" w:color="auto" w:fill="auto"/>
          </w:tcPr>
          <w:p w:rsidR="003D2C53" w:rsidRPr="00D77C46" w:rsidRDefault="003D2C53" w:rsidP="0087166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3888" w:type="dxa"/>
            <w:shd w:val="clear" w:color="auto" w:fill="auto"/>
          </w:tcPr>
          <w:p w:rsidR="003D2C53" w:rsidRPr="00D77C46" w:rsidRDefault="003D2C53" w:rsidP="0087166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6D508E" w:rsidRPr="00D77C46">
        <w:tc>
          <w:tcPr>
            <w:tcW w:w="4968" w:type="dxa"/>
            <w:vMerge w:val="restart"/>
            <w:shd w:val="clear" w:color="auto" w:fill="auto"/>
          </w:tcPr>
          <w:p w:rsidR="006D508E" w:rsidRDefault="006D508E" w:rsidP="005D43D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>SPI 595 Internship (2 cr.)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four</w:t>
            </w: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 xml:space="preserve"> courses from list below, or </w:t>
            </w:r>
            <w:r w:rsidR="006F6903">
              <w:rPr>
                <w:rFonts w:ascii="Times New Roman" w:hAnsi="Times New Roman" w:cs="Times New Roman"/>
                <w:sz w:val="22"/>
                <w:szCs w:val="22"/>
              </w:rPr>
              <w:t>pre-</w:t>
            </w: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>approved by grad coordinator</w:t>
            </w:r>
          </w:p>
          <w:p w:rsidR="006D508E" w:rsidRPr="006D508E" w:rsidRDefault="006D508E" w:rsidP="005D43DC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508E">
              <w:rPr>
                <w:rFonts w:ascii="Times New Roman" w:hAnsi="Times New Roman" w:cs="Times New Roman"/>
                <w:b/>
                <w:sz w:val="22"/>
                <w:szCs w:val="22"/>
              </w:rPr>
              <w:t>or</w:t>
            </w:r>
          </w:p>
          <w:p w:rsidR="006D508E" w:rsidRPr="00D77C46" w:rsidRDefault="006D508E" w:rsidP="006F6903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>SPI 595 Internship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 xml:space="preserve"> cr.)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three</w:t>
            </w: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 xml:space="preserve"> courses from list below or </w:t>
            </w:r>
            <w:r w:rsidR="006F6903">
              <w:rPr>
                <w:rFonts w:ascii="Times New Roman" w:hAnsi="Times New Roman" w:cs="Times New Roman"/>
                <w:sz w:val="22"/>
                <w:szCs w:val="22"/>
              </w:rPr>
              <w:t>pre-</w:t>
            </w: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>approved by grad coordinator</w:t>
            </w:r>
          </w:p>
        </w:tc>
        <w:tc>
          <w:tcPr>
            <w:tcW w:w="3888" w:type="dxa"/>
            <w:shd w:val="clear" w:color="auto" w:fill="auto"/>
          </w:tcPr>
          <w:p w:rsidR="006D508E" w:rsidRPr="00D77C46" w:rsidRDefault="006D508E" w:rsidP="003D2C53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77C46">
              <w:rPr>
                <w:rFonts w:ascii="Times New Roman" w:hAnsi="Times New Roman" w:cs="Times New Roman"/>
                <w:i/>
                <w:sz w:val="22"/>
                <w:szCs w:val="22"/>
              </w:rPr>
              <w:t>Thesis option:</w:t>
            </w: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 xml:space="preserve"> ECO 699 Graduate Thesis and one graduate level ECO course</w:t>
            </w:r>
          </w:p>
        </w:tc>
      </w:tr>
      <w:tr w:rsidR="006D508E" w:rsidRPr="00D77C46">
        <w:trPr>
          <w:trHeight w:val="935"/>
        </w:trPr>
        <w:tc>
          <w:tcPr>
            <w:tcW w:w="4968" w:type="dxa"/>
            <w:vMerge/>
            <w:shd w:val="clear" w:color="auto" w:fill="auto"/>
          </w:tcPr>
          <w:p w:rsidR="006D508E" w:rsidRPr="00D77C46" w:rsidRDefault="006D508E" w:rsidP="00E059C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3888" w:type="dxa"/>
            <w:shd w:val="clear" w:color="auto" w:fill="auto"/>
          </w:tcPr>
          <w:p w:rsidR="006D508E" w:rsidRPr="00D77C46" w:rsidRDefault="006D508E" w:rsidP="003D2C53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77C46">
              <w:rPr>
                <w:rFonts w:ascii="Times New Roman" w:hAnsi="Times New Roman" w:cs="Times New Roman"/>
                <w:i/>
                <w:sz w:val="22"/>
                <w:szCs w:val="22"/>
              </w:rPr>
              <w:t>Non-thesis option:</w:t>
            </w: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 xml:space="preserve"> Three graduate level ECO courses</w:t>
            </w:r>
          </w:p>
        </w:tc>
      </w:tr>
    </w:tbl>
    <w:p w:rsidR="003D2C53" w:rsidRDefault="003D2C53" w:rsidP="003D2C53">
      <w:pPr>
        <w:pStyle w:val="PlainTex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D2C53" w:rsidRPr="006F1A01" w:rsidRDefault="003D2C53" w:rsidP="003D2C53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6F1A01">
        <w:rPr>
          <w:rFonts w:ascii="Times New Roman" w:hAnsi="Times New Roman" w:cs="Times New Roman"/>
          <w:b/>
          <w:sz w:val="22"/>
          <w:szCs w:val="22"/>
        </w:rPr>
        <w:t xml:space="preserve">A. </w:t>
      </w:r>
      <w:r>
        <w:rPr>
          <w:rFonts w:ascii="Times New Roman" w:hAnsi="Times New Roman" w:cs="Times New Roman"/>
          <w:b/>
          <w:sz w:val="22"/>
          <w:szCs w:val="22"/>
        </w:rPr>
        <w:t>Business:</w:t>
      </w:r>
    </w:p>
    <w:p w:rsidR="003D2C53" w:rsidRPr="006F1A01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F1A01">
        <w:rPr>
          <w:rFonts w:ascii="Times New Roman" w:hAnsi="Times New Roman" w:cs="Times New Roman"/>
          <w:sz w:val="22"/>
          <w:szCs w:val="22"/>
        </w:rPr>
        <w:t>BUA</w:t>
      </w:r>
      <w:r>
        <w:rPr>
          <w:rFonts w:ascii="Times New Roman" w:hAnsi="Times New Roman" w:cs="Times New Roman"/>
          <w:sz w:val="22"/>
          <w:szCs w:val="22"/>
        </w:rPr>
        <w:t xml:space="preserve"> 445 International Management</w:t>
      </w:r>
    </w:p>
    <w:p w:rsidR="003D2C53" w:rsidRPr="006F1A01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F1A01">
        <w:rPr>
          <w:rFonts w:ascii="Times New Roman" w:hAnsi="Times New Roman" w:cs="Times New Roman"/>
          <w:sz w:val="22"/>
          <w:szCs w:val="22"/>
        </w:rPr>
        <w:t>BUA 455 International Corpor</w:t>
      </w:r>
      <w:r>
        <w:rPr>
          <w:rFonts w:ascii="Times New Roman" w:hAnsi="Times New Roman" w:cs="Times New Roman"/>
          <w:sz w:val="22"/>
          <w:szCs w:val="22"/>
        </w:rPr>
        <w:t>ate Finance</w:t>
      </w:r>
    </w:p>
    <w:p w:rsidR="003D2C53" w:rsidRPr="006F1A01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F1A01">
        <w:rPr>
          <w:rFonts w:ascii="Times New Roman" w:hAnsi="Times New Roman" w:cs="Times New Roman"/>
          <w:sz w:val="22"/>
          <w:szCs w:val="22"/>
        </w:rPr>
        <w:t>BUA 596 In</w:t>
      </w:r>
      <w:r>
        <w:rPr>
          <w:rFonts w:ascii="Times New Roman" w:hAnsi="Times New Roman" w:cs="Times New Roman"/>
          <w:sz w:val="22"/>
          <w:szCs w:val="22"/>
        </w:rPr>
        <w:t>ternational Field Study (trip)</w:t>
      </w:r>
    </w:p>
    <w:p w:rsidR="003D2C53" w:rsidRPr="006F1A01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F1A01">
        <w:rPr>
          <w:rFonts w:ascii="Times New Roman" w:hAnsi="Times New Roman" w:cs="Times New Roman"/>
          <w:sz w:val="22"/>
          <w:szCs w:val="22"/>
        </w:rPr>
        <w:t xml:space="preserve">BUA 620 </w:t>
      </w:r>
      <w:r>
        <w:rPr>
          <w:rFonts w:ascii="Times New Roman" w:hAnsi="Times New Roman" w:cs="Times New Roman"/>
          <w:sz w:val="22"/>
          <w:szCs w:val="22"/>
        </w:rPr>
        <w:t>Law, Business and Society</w:t>
      </w:r>
    </w:p>
    <w:p w:rsidR="003D2C53" w:rsidRPr="006F1A01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F1A01">
        <w:rPr>
          <w:rFonts w:ascii="Times New Roman" w:hAnsi="Times New Roman" w:cs="Times New Roman"/>
          <w:sz w:val="22"/>
          <w:szCs w:val="22"/>
        </w:rPr>
        <w:t>BUA 630 Industrial Rela</w:t>
      </w:r>
      <w:r>
        <w:rPr>
          <w:rFonts w:ascii="Times New Roman" w:hAnsi="Times New Roman" w:cs="Times New Roman"/>
          <w:sz w:val="22"/>
          <w:szCs w:val="22"/>
        </w:rPr>
        <w:t>tions and Personnel Management</w:t>
      </w:r>
    </w:p>
    <w:p w:rsidR="003D2C53" w:rsidRPr="006F1A01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F1A01">
        <w:rPr>
          <w:rFonts w:ascii="Times New Roman" w:hAnsi="Times New Roman" w:cs="Times New Roman"/>
          <w:sz w:val="22"/>
          <w:szCs w:val="22"/>
        </w:rPr>
        <w:t>BUA 639 Contemporary Iss</w:t>
      </w:r>
      <w:r>
        <w:rPr>
          <w:rFonts w:ascii="Times New Roman" w:hAnsi="Times New Roman" w:cs="Times New Roman"/>
          <w:sz w:val="22"/>
          <w:szCs w:val="22"/>
        </w:rPr>
        <w:t>ues in International Business</w:t>
      </w:r>
    </w:p>
    <w:p w:rsidR="003D2C53" w:rsidRPr="006F1A01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F1A01">
        <w:rPr>
          <w:rFonts w:ascii="Times New Roman" w:hAnsi="Times New Roman" w:cs="Times New Roman"/>
          <w:sz w:val="22"/>
          <w:szCs w:val="22"/>
        </w:rPr>
        <w:t>BUA 645 Selected Advanced Topics in B</w:t>
      </w:r>
      <w:r>
        <w:rPr>
          <w:rFonts w:ascii="Times New Roman" w:hAnsi="Times New Roman" w:cs="Times New Roman"/>
          <w:sz w:val="22"/>
          <w:szCs w:val="22"/>
        </w:rPr>
        <w:t>usiness Administration</w:t>
      </w:r>
    </w:p>
    <w:p w:rsidR="003D2C53" w:rsidRPr="006F1A01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BUA 651 Financial Management</w:t>
      </w:r>
    </w:p>
    <w:p w:rsidR="003D2C53" w:rsidRPr="006F1A01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F1A01">
        <w:rPr>
          <w:rFonts w:ascii="Times New Roman" w:hAnsi="Times New Roman" w:cs="Times New Roman"/>
          <w:sz w:val="22"/>
          <w:szCs w:val="22"/>
        </w:rPr>
        <w:t>BUA 652 Managemen</w:t>
      </w:r>
      <w:r>
        <w:rPr>
          <w:rFonts w:ascii="Times New Roman" w:hAnsi="Times New Roman" w:cs="Times New Roman"/>
          <w:sz w:val="22"/>
          <w:szCs w:val="22"/>
        </w:rPr>
        <w:t>t of Financial Institutions</w:t>
      </w:r>
    </w:p>
    <w:p w:rsidR="003D2C53" w:rsidRPr="006F1A01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BUA 668 Electronic Commerce</w:t>
      </w:r>
    </w:p>
    <w:p w:rsidR="003D2C53" w:rsidRPr="006F1A01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D2C53" w:rsidRPr="006F1A01" w:rsidRDefault="003D2C53" w:rsidP="003D2C53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6F1A01">
        <w:rPr>
          <w:rFonts w:ascii="Times New Roman" w:hAnsi="Times New Roman" w:cs="Times New Roman"/>
          <w:b/>
          <w:sz w:val="22"/>
          <w:szCs w:val="22"/>
        </w:rPr>
        <w:t>B: Economics</w:t>
      </w:r>
    </w:p>
    <w:p w:rsidR="00E059C5" w:rsidRPr="00741302" w:rsidRDefault="00E059C5" w:rsidP="00E059C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ECO 443 Introduction to Modern Economic Growth </w:t>
      </w:r>
    </w:p>
    <w:p w:rsidR="003D2C53" w:rsidRPr="006F1A01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F1A01">
        <w:rPr>
          <w:rFonts w:ascii="Times New Roman" w:hAnsi="Times New Roman" w:cs="Times New Roman"/>
          <w:sz w:val="22"/>
          <w:szCs w:val="22"/>
        </w:rPr>
        <w:t xml:space="preserve">ECO 524 </w:t>
      </w:r>
      <w:r>
        <w:rPr>
          <w:rFonts w:ascii="Times New Roman" w:hAnsi="Times New Roman" w:cs="Times New Roman"/>
          <w:sz w:val="22"/>
          <w:szCs w:val="22"/>
        </w:rPr>
        <w:t>Advanced International Finance</w:t>
      </w:r>
    </w:p>
    <w:p w:rsidR="003D2C53" w:rsidRPr="006F1A01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F1A01">
        <w:rPr>
          <w:rFonts w:ascii="Times New Roman" w:hAnsi="Times New Roman" w:cs="Times New Roman"/>
          <w:sz w:val="22"/>
          <w:szCs w:val="22"/>
        </w:rPr>
        <w:t xml:space="preserve">ECO 545 Advanced Regional Economics  </w:t>
      </w:r>
    </w:p>
    <w:p w:rsidR="00E059C5" w:rsidRPr="00741302" w:rsidRDefault="00E059C5" w:rsidP="00E059C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>ECO 5</w:t>
      </w:r>
      <w:r w:rsidR="00E5292B">
        <w:rPr>
          <w:rFonts w:ascii="Times New Roman" w:hAnsi="Times New Roman" w:cs="Times New Roman"/>
          <w:sz w:val="22"/>
          <w:szCs w:val="22"/>
        </w:rPr>
        <w:t>15</w:t>
      </w:r>
      <w:r w:rsidRPr="00741302">
        <w:rPr>
          <w:rFonts w:ascii="Times New Roman" w:hAnsi="Times New Roman" w:cs="Times New Roman"/>
          <w:sz w:val="22"/>
          <w:szCs w:val="22"/>
        </w:rPr>
        <w:t xml:space="preserve"> Game Theory </w:t>
      </w:r>
    </w:p>
    <w:p w:rsidR="003D2C53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F1A01">
        <w:rPr>
          <w:rFonts w:ascii="Times New Roman" w:hAnsi="Times New Roman" w:cs="Times New Roman"/>
          <w:sz w:val="22"/>
          <w:szCs w:val="22"/>
        </w:rPr>
        <w:t>ECO 597 Independent Studies</w:t>
      </w:r>
    </w:p>
    <w:p w:rsidR="00E059C5" w:rsidRDefault="00E059C5" w:rsidP="00925ECB">
      <w:pPr>
        <w:spacing w:after="240"/>
        <w:rPr>
          <w:sz w:val="22"/>
          <w:szCs w:val="22"/>
          <w:u w:val="single"/>
        </w:rPr>
      </w:pPr>
    </w:p>
    <w:p w:rsidR="00925ECB" w:rsidRDefault="00925ECB" w:rsidP="00925ECB">
      <w:pPr>
        <w:spacing w:after="240"/>
      </w:pPr>
      <w:r>
        <w:rPr>
          <w:sz w:val="22"/>
          <w:szCs w:val="22"/>
          <w:u w:val="single"/>
        </w:rPr>
        <w:br w:type="page"/>
      </w:r>
      <w:r>
        <w:lastRenderedPageBreak/>
        <w:t>For a student enrolled in the dual degree program in M.S. Resource Economics and Policy and an M.A. Global Policy: International Environmental Policy concentration (courses are 3 credits unless noted)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158"/>
      </w:tblGrid>
      <w:tr w:rsidR="00925ECB" w:rsidRPr="00D77C46">
        <w:tc>
          <w:tcPr>
            <w:tcW w:w="4698" w:type="dxa"/>
            <w:shd w:val="clear" w:color="auto" w:fill="auto"/>
          </w:tcPr>
          <w:p w:rsidR="00925ECB" w:rsidRPr="00D77C46" w:rsidRDefault="00925ECB" w:rsidP="00E059C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77C4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SPIA (27 credits total)</w:t>
            </w:r>
          </w:p>
        </w:tc>
        <w:tc>
          <w:tcPr>
            <w:tcW w:w="4158" w:type="dxa"/>
            <w:shd w:val="clear" w:color="auto" w:fill="auto"/>
          </w:tcPr>
          <w:p w:rsidR="00925ECB" w:rsidRPr="00D77C46" w:rsidRDefault="00925ECB" w:rsidP="00E059C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77C4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SOE (24 credits total)</w:t>
            </w:r>
          </w:p>
        </w:tc>
      </w:tr>
      <w:tr w:rsidR="00925ECB" w:rsidRPr="00D77C46">
        <w:trPr>
          <w:trHeight w:val="288"/>
        </w:trPr>
        <w:tc>
          <w:tcPr>
            <w:tcW w:w="4698" w:type="dxa"/>
            <w:shd w:val="clear" w:color="auto" w:fill="auto"/>
          </w:tcPr>
          <w:p w:rsidR="00925ECB" w:rsidRPr="00D77C46" w:rsidRDefault="00925ECB" w:rsidP="00E059C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>SPI 501 Methods of Inquiry and Research</w:t>
            </w:r>
          </w:p>
        </w:tc>
        <w:tc>
          <w:tcPr>
            <w:tcW w:w="4158" w:type="dxa"/>
            <w:shd w:val="clear" w:color="auto" w:fill="auto"/>
          </w:tcPr>
          <w:p w:rsidR="00925ECB" w:rsidRPr="00D77C46" w:rsidRDefault="00925ECB" w:rsidP="00D77C46">
            <w:pPr>
              <w:pStyle w:val="PlainText"/>
              <w:tabs>
                <w:tab w:val="left" w:pos="3600"/>
                <w:tab w:val="left" w:pos="4500"/>
              </w:tabs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77C4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ECO 514 Microeconomic Theory I</w:t>
            </w:r>
          </w:p>
        </w:tc>
      </w:tr>
      <w:tr w:rsidR="00925ECB" w:rsidRPr="00D77C46">
        <w:tc>
          <w:tcPr>
            <w:tcW w:w="4698" w:type="dxa"/>
            <w:shd w:val="clear" w:color="auto" w:fill="auto"/>
          </w:tcPr>
          <w:p w:rsidR="00925ECB" w:rsidRPr="00D77C46" w:rsidRDefault="00925ECB" w:rsidP="00E059C5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>SPI 502 Contemporary Issues in World Economy</w:t>
            </w:r>
          </w:p>
        </w:tc>
        <w:tc>
          <w:tcPr>
            <w:tcW w:w="4158" w:type="dxa"/>
            <w:shd w:val="clear" w:color="auto" w:fill="auto"/>
          </w:tcPr>
          <w:p w:rsidR="00925ECB" w:rsidRPr="00D77C46" w:rsidRDefault="00925ECB" w:rsidP="00D77C46">
            <w:pPr>
              <w:pStyle w:val="PlainText"/>
              <w:tabs>
                <w:tab w:val="left" w:pos="3600"/>
                <w:tab w:val="left" w:pos="4500"/>
              </w:tabs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77C4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ECO 515 Microeconomic Theory II </w:t>
            </w:r>
          </w:p>
        </w:tc>
      </w:tr>
      <w:tr w:rsidR="00925ECB" w:rsidRPr="00D77C46">
        <w:tc>
          <w:tcPr>
            <w:tcW w:w="4698" w:type="dxa"/>
            <w:shd w:val="clear" w:color="auto" w:fill="auto"/>
          </w:tcPr>
          <w:p w:rsidR="00925ECB" w:rsidRPr="00D77C46" w:rsidRDefault="00925ECB" w:rsidP="00E059C5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>SPI 503 Contemporary International Relations</w:t>
            </w:r>
          </w:p>
        </w:tc>
        <w:tc>
          <w:tcPr>
            <w:tcW w:w="4158" w:type="dxa"/>
            <w:shd w:val="clear" w:color="auto" w:fill="auto"/>
          </w:tcPr>
          <w:p w:rsidR="00925ECB" w:rsidRPr="00D77C46" w:rsidRDefault="00925ECB" w:rsidP="00D77C46">
            <w:pPr>
              <w:pStyle w:val="PlainText"/>
              <w:tabs>
                <w:tab w:val="left" w:pos="3600"/>
                <w:tab w:val="left" w:pos="4500"/>
              </w:tabs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77C4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ECO 530 Econometrics I</w:t>
            </w:r>
          </w:p>
        </w:tc>
      </w:tr>
      <w:tr w:rsidR="00925ECB" w:rsidRPr="00D77C46">
        <w:tc>
          <w:tcPr>
            <w:tcW w:w="4698" w:type="dxa"/>
            <w:shd w:val="clear" w:color="auto" w:fill="auto"/>
          </w:tcPr>
          <w:p w:rsidR="00925ECB" w:rsidRPr="00D77C46" w:rsidRDefault="00925ECB" w:rsidP="00E059C5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>SPI 504 Global Justice</w:t>
            </w:r>
          </w:p>
        </w:tc>
        <w:tc>
          <w:tcPr>
            <w:tcW w:w="4158" w:type="dxa"/>
            <w:shd w:val="clear" w:color="auto" w:fill="auto"/>
          </w:tcPr>
          <w:p w:rsidR="00925ECB" w:rsidRPr="00D77C46" w:rsidRDefault="00925ECB" w:rsidP="00D77C46">
            <w:pPr>
              <w:pStyle w:val="PlainText"/>
              <w:tabs>
                <w:tab w:val="left" w:pos="3600"/>
                <w:tab w:val="left" w:pos="4500"/>
              </w:tabs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>ECO 531 Econometrics II</w:t>
            </w:r>
          </w:p>
        </w:tc>
      </w:tr>
      <w:tr w:rsidR="00925ECB" w:rsidRPr="00D77C46">
        <w:tc>
          <w:tcPr>
            <w:tcW w:w="4698" w:type="dxa"/>
            <w:shd w:val="clear" w:color="auto" w:fill="auto"/>
          </w:tcPr>
          <w:p w:rsidR="00925ECB" w:rsidRPr="00D77C46" w:rsidRDefault="00925ECB" w:rsidP="00E059C5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>SPI 510 Public Service Seminar (1 cr.)</w:t>
            </w:r>
          </w:p>
        </w:tc>
        <w:tc>
          <w:tcPr>
            <w:tcW w:w="4158" w:type="dxa"/>
            <w:shd w:val="clear" w:color="auto" w:fill="auto"/>
          </w:tcPr>
          <w:p w:rsidR="00925ECB" w:rsidRPr="00D77C46" w:rsidRDefault="00925ECB" w:rsidP="00D77C46">
            <w:pPr>
              <w:pStyle w:val="PlainText"/>
              <w:tabs>
                <w:tab w:val="left" w:pos="3600"/>
                <w:tab w:val="left" w:pos="45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 xml:space="preserve">ECO 571 Advanced Environmental &amp; Resource Economics I </w:t>
            </w:r>
          </w:p>
        </w:tc>
      </w:tr>
      <w:tr w:rsidR="00925ECB" w:rsidRPr="00D77C46">
        <w:tc>
          <w:tcPr>
            <w:tcW w:w="4698" w:type="dxa"/>
            <w:shd w:val="clear" w:color="auto" w:fill="auto"/>
          </w:tcPr>
          <w:p w:rsidR="00925ECB" w:rsidRPr="00D77C46" w:rsidRDefault="006F6903" w:rsidP="00E059C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>ECO 550 International Environmental Economics and Policy</w:t>
            </w:r>
          </w:p>
        </w:tc>
        <w:tc>
          <w:tcPr>
            <w:tcW w:w="4158" w:type="dxa"/>
            <w:shd w:val="clear" w:color="auto" w:fill="auto"/>
          </w:tcPr>
          <w:p w:rsidR="00925ECB" w:rsidRPr="00D77C46" w:rsidRDefault="00925ECB" w:rsidP="00925ECB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>ECO 572 Advanced Environmental &amp; Resource Economics II</w:t>
            </w:r>
          </w:p>
        </w:tc>
      </w:tr>
      <w:tr w:rsidR="006D508E" w:rsidRPr="00D77C46">
        <w:tc>
          <w:tcPr>
            <w:tcW w:w="4698" w:type="dxa"/>
            <w:vMerge w:val="restart"/>
            <w:shd w:val="clear" w:color="auto" w:fill="auto"/>
          </w:tcPr>
          <w:p w:rsidR="006D508E" w:rsidRDefault="006D508E" w:rsidP="006D508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>SPI 595 Internship (2 cr.)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three</w:t>
            </w: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 xml:space="preserve"> courses from list below or </w:t>
            </w:r>
            <w:r w:rsidR="006F6903">
              <w:rPr>
                <w:rFonts w:ascii="Times New Roman" w:hAnsi="Times New Roman" w:cs="Times New Roman"/>
                <w:sz w:val="22"/>
                <w:szCs w:val="22"/>
              </w:rPr>
              <w:t>pre-</w:t>
            </w: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>approved by grad coordinator</w:t>
            </w:r>
          </w:p>
          <w:p w:rsidR="006D508E" w:rsidRPr="006D508E" w:rsidRDefault="006D508E" w:rsidP="006D508E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508E">
              <w:rPr>
                <w:rFonts w:ascii="Times New Roman" w:hAnsi="Times New Roman" w:cs="Times New Roman"/>
                <w:b/>
                <w:sz w:val="22"/>
                <w:szCs w:val="22"/>
              </w:rPr>
              <w:t>or</w:t>
            </w:r>
          </w:p>
          <w:p w:rsidR="006D508E" w:rsidRPr="00D77C46" w:rsidRDefault="006D508E" w:rsidP="006F6903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>SPI 595 Internship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 xml:space="preserve"> cr.)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 xml:space="preserve">and two </w:t>
            </w:r>
            <w:r w:rsidR="006F6903" w:rsidRPr="00D77C46">
              <w:rPr>
                <w:rFonts w:ascii="Times New Roman" w:hAnsi="Times New Roman" w:cs="Times New Roman"/>
                <w:sz w:val="22"/>
                <w:szCs w:val="22"/>
              </w:rPr>
              <w:t xml:space="preserve">courses from list below or </w:t>
            </w:r>
            <w:r w:rsidR="006F6903">
              <w:rPr>
                <w:rFonts w:ascii="Times New Roman" w:hAnsi="Times New Roman" w:cs="Times New Roman"/>
                <w:sz w:val="22"/>
                <w:szCs w:val="22"/>
              </w:rPr>
              <w:t>pre-</w:t>
            </w:r>
            <w:r w:rsidR="006F6903" w:rsidRPr="00D77C46">
              <w:rPr>
                <w:rFonts w:ascii="Times New Roman" w:hAnsi="Times New Roman" w:cs="Times New Roman"/>
                <w:sz w:val="22"/>
                <w:szCs w:val="22"/>
              </w:rPr>
              <w:t xml:space="preserve">approved </w:t>
            </w:r>
            <w:r w:rsidR="006F6903">
              <w:rPr>
                <w:rFonts w:ascii="Times New Roman" w:hAnsi="Times New Roman" w:cs="Times New Roman"/>
                <w:sz w:val="22"/>
                <w:szCs w:val="22"/>
              </w:rPr>
              <w:t xml:space="preserve">by </w:t>
            </w: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>grad coordinator</w:t>
            </w:r>
          </w:p>
        </w:tc>
        <w:tc>
          <w:tcPr>
            <w:tcW w:w="4158" w:type="dxa"/>
            <w:shd w:val="clear" w:color="auto" w:fill="auto"/>
          </w:tcPr>
          <w:p w:rsidR="006D508E" w:rsidRPr="00D77C46" w:rsidRDefault="006D508E" w:rsidP="00E059C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77C46">
              <w:rPr>
                <w:rFonts w:ascii="Times New Roman" w:hAnsi="Times New Roman" w:cs="Times New Roman"/>
                <w:i/>
                <w:sz w:val="22"/>
                <w:szCs w:val="22"/>
              </w:rPr>
              <w:t>Thesis option:</w:t>
            </w: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 xml:space="preserve"> ECO 699 Graduate Thesis </w:t>
            </w:r>
          </w:p>
        </w:tc>
      </w:tr>
      <w:tr w:rsidR="006D508E" w:rsidRPr="00D77C46">
        <w:tc>
          <w:tcPr>
            <w:tcW w:w="4698" w:type="dxa"/>
            <w:vMerge/>
            <w:shd w:val="clear" w:color="auto" w:fill="auto"/>
          </w:tcPr>
          <w:p w:rsidR="006D508E" w:rsidRPr="00D77C46" w:rsidRDefault="006D508E" w:rsidP="00E059C5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:rsidR="006D508E" w:rsidRPr="00D77C46" w:rsidRDefault="006D508E" w:rsidP="00E059C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77C46">
              <w:rPr>
                <w:rFonts w:ascii="Times New Roman" w:hAnsi="Times New Roman" w:cs="Times New Roman"/>
                <w:i/>
                <w:sz w:val="22"/>
                <w:szCs w:val="22"/>
              </w:rPr>
              <w:t>Non-thesis option:</w:t>
            </w:r>
            <w:r w:rsidRPr="00D77C46">
              <w:rPr>
                <w:rFonts w:ascii="Times New Roman" w:hAnsi="Times New Roman" w:cs="Times New Roman"/>
                <w:sz w:val="22"/>
                <w:szCs w:val="22"/>
              </w:rPr>
              <w:t xml:space="preserve"> ECO 597 Independent Study and one elective</w:t>
            </w:r>
          </w:p>
        </w:tc>
      </w:tr>
    </w:tbl>
    <w:p w:rsidR="00925ECB" w:rsidRDefault="00925ECB" w:rsidP="003D2C53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</w:p>
    <w:p w:rsidR="003D2C53" w:rsidRPr="006F1A01" w:rsidRDefault="003D2C53" w:rsidP="003D2C53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6F1A01">
        <w:rPr>
          <w:rFonts w:ascii="Times New Roman" w:hAnsi="Times New Roman" w:cs="Times New Roman"/>
          <w:b/>
          <w:sz w:val="22"/>
          <w:szCs w:val="22"/>
        </w:rPr>
        <w:t>A. Policy-related:</w:t>
      </w:r>
    </w:p>
    <w:p w:rsidR="003D2C53" w:rsidRPr="0042193D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2193D">
        <w:rPr>
          <w:rFonts w:ascii="Times New Roman" w:hAnsi="Times New Roman" w:cs="Times New Roman"/>
          <w:sz w:val="22"/>
          <w:szCs w:val="22"/>
        </w:rPr>
        <w:t xml:space="preserve">ANT </w:t>
      </w:r>
      <w:proofErr w:type="gramStart"/>
      <w:r w:rsidRPr="0042193D">
        <w:rPr>
          <w:rFonts w:ascii="Times New Roman" w:hAnsi="Times New Roman" w:cs="Times New Roman"/>
          <w:sz w:val="22"/>
          <w:szCs w:val="22"/>
        </w:rPr>
        <w:t>465 Political Anthropology</w:t>
      </w:r>
      <w:proofErr w:type="gramEnd"/>
    </w:p>
    <w:p w:rsidR="003D2C53" w:rsidRPr="0042193D" w:rsidRDefault="003D2C53" w:rsidP="00925ECB">
      <w:pPr>
        <w:pStyle w:val="Heading3"/>
        <w:spacing w:before="0" w:beforeAutospacing="0" w:after="0" w:afterAutospacing="0"/>
        <w:rPr>
          <w:b w:val="0"/>
          <w:sz w:val="22"/>
          <w:szCs w:val="22"/>
        </w:rPr>
      </w:pPr>
      <w:r w:rsidRPr="0042193D">
        <w:rPr>
          <w:b w:val="0"/>
          <w:sz w:val="22"/>
          <w:szCs w:val="22"/>
        </w:rPr>
        <w:t>ANT 466 Economic Anthropology</w:t>
      </w:r>
    </w:p>
    <w:p w:rsidR="009640B3" w:rsidRDefault="009640B3" w:rsidP="00925EC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CMJ 593 Environmental Communication</w:t>
      </w:r>
    </w:p>
    <w:p w:rsidR="003D2C53" w:rsidRPr="00741302" w:rsidRDefault="003D2C53" w:rsidP="00925EC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ECO 443 Introduction to Modern Economic Growth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ECO 445 Urban-Regional Economics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ECO 449 International Trade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ECO 473 Economic and Policy Applications of GIS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ECO 479 Land Use Planning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ECO 511 Macroeconomic Theory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ECO 524 Advanced International Finance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ECO 581 Sustainable Resource Systems and Public Policy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ECO 590 Advanced Topics: Game Theory (2 Credits)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>ECO 599 Special Topics: Energy Policy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>ECO 599 Special Topics: Global Warming Policy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PAA 627 Environmental Policy and Management </w:t>
      </w:r>
    </w:p>
    <w:p w:rsidR="003D2C53" w:rsidRPr="004B7539" w:rsidRDefault="003D2C53" w:rsidP="003D2C53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4B7539">
        <w:rPr>
          <w:rFonts w:ascii="Times New Roman" w:hAnsi="Times New Roman" w:cs="Times New Roman"/>
          <w:color w:val="000000"/>
          <w:sz w:val="22"/>
          <w:szCs w:val="22"/>
        </w:rPr>
        <w:t xml:space="preserve">PAA 680 Sustainable Economic and Community Development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FTY 446 Forest Resources Policy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>HTY 577 Environmental History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D2C53" w:rsidRPr="006F1A01" w:rsidRDefault="003D2C53" w:rsidP="003D2C53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6F1A01">
        <w:rPr>
          <w:rFonts w:ascii="Times New Roman" w:hAnsi="Times New Roman" w:cs="Times New Roman"/>
          <w:b/>
          <w:sz w:val="22"/>
          <w:szCs w:val="22"/>
        </w:rPr>
        <w:t>B. Environmental analysis: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ANT 420 Human Impacts on Ancient Environments </w:t>
      </w:r>
    </w:p>
    <w:p w:rsidR="003D2C53" w:rsidRPr="0042193D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2193D">
        <w:rPr>
          <w:rFonts w:ascii="Times New Roman" w:hAnsi="Times New Roman" w:cs="Times New Roman"/>
          <w:sz w:val="22"/>
          <w:szCs w:val="22"/>
        </w:rPr>
        <w:t xml:space="preserve">ANT </w:t>
      </w:r>
      <w:proofErr w:type="gramStart"/>
      <w:r w:rsidRPr="0042193D">
        <w:rPr>
          <w:rFonts w:ascii="Times New Roman" w:hAnsi="Times New Roman" w:cs="Times New Roman"/>
          <w:sz w:val="22"/>
          <w:szCs w:val="22"/>
        </w:rPr>
        <w:t>464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2193D">
        <w:rPr>
          <w:rFonts w:ascii="Times New Roman" w:hAnsi="Times New Roman" w:cs="Times New Roman"/>
          <w:sz w:val="22"/>
          <w:szCs w:val="22"/>
        </w:rPr>
        <w:t>Ecological Anthropology</w:t>
      </w:r>
      <w:proofErr w:type="gramEnd"/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BIO </w:t>
      </w:r>
      <w:proofErr w:type="gramStart"/>
      <w:r w:rsidRPr="00741302">
        <w:rPr>
          <w:rFonts w:ascii="Times New Roman" w:hAnsi="Times New Roman" w:cs="Times New Roman"/>
          <w:sz w:val="22"/>
          <w:szCs w:val="22"/>
        </w:rPr>
        <w:t>475 Field Marine Ecology</w:t>
      </w:r>
      <w:proofErr w:type="gramEnd"/>
      <w:r w:rsidRPr="0074130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BIO </w:t>
      </w:r>
      <w:proofErr w:type="gramStart"/>
      <w:r w:rsidRPr="00741302">
        <w:rPr>
          <w:rFonts w:ascii="Times New Roman" w:hAnsi="Times New Roman" w:cs="Times New Roman"/>
          <w:sz w:val="22"/>
          <w:szCs w:val="22"/>
        </w:rPr>
        <w:t>525 Community Ecology</w:t>
      </w:r>
      <w:proofErr w:type="gramEnd"/>
      <w:r w:rsidRPr="0074130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BIO 546 Aquatic Ecosystems: a Landscape Perspective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CHE 480 Pollution Prevention in Industrial Ecology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CIE 430 Water Treatment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CIE 431 Pollutant Fate and Transport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CIE 533 Environmental Aquatic Chemistry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CIE 534 Environmental Microbiology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lastRenderedPageBreak/>
        <w:t xml:space="preserve">CIE 555 Environmental Hydrology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>EES 418 Environmental Assessment and Management Techniques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EES 489 Critical Issues in Ecology and Environmental Sciences Policy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EES 497 Independent Studies in Ecology and Environmental Sciences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EES 590 Special Topics in Ecology and Environmental Science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FES 407 Forest Ecology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FES 541 Disturbance Ecology of Forest Ecosystems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INT 460 Environmental Aspects of Aquaculture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INT 482 Pesticides and the Environment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SMS 552 Ecological Approaches to Marine Resource Management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SMS 553 Institutions and the Management of Common Pool Resources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SMS 558 History of Uses and Abuses of the Coastal Zone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SMS 555 Resource Management in Cross-culture Perspectives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SMS 562 Fisheries Population Dynamics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WLE 410 Wildlife Population Dynamics and Conservation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WLE 423 Wetland Ecology and Conservation </w:t>
      </w:r>
    </w:p>
    <w:p w:rsidR="003D2C53" w:rsidRPr="00741302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 xml:space="preserve">WLE 445 Management of Endangered and Threatened Species </w:t>
      </w:r>
    </w:p>
    <w:p w:rsidR="003D2C53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1302">
        <w:rPr>
          <w:rFonts w:ascii="Times New Roman" w:hAnsi="Times New Roman" w:cs="Times New Roman"/>
          <w:sz w:val="22"/>
          <w:szCs w:val="22"/>
        </w:rPr>
        <w:t>WLE 555 Landscape Ecology and Conservation</w:t>
      </w:r>
    </w:p>
    <w:p w:rsidR="003D2C53" w:rsidRDefault="003D2C53" w:rsidP="003D2C5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D2C53" w:rsidRPr="00BF09C5" w:rsidRDefault="003D2C53" w:rsidP="003D2C53">
      <w:pPr>
        <w:pStyle w:val="PlainText"/>
        <w:tabs>
          <w:tab w:val="left" w:pos="3600"/>
          <w:tab w:val="left" w:pos="4500"/>
        </w:tabs>
        <w:rPr>
          <w:rFonts w:ascii="Times New Roman" w:hAnsi="Times New Roman" w:cs="Times New Roman"/>
          <w:sz w:val="22"/>
          <w:szCs w:val="22"/>
        </w:rPr>
      </w:pPr>
    </w:p>
    <w:sectPr w:rsidR="003D2C53" w:rsidRPr="00BF09C5" w:rsidSect="004936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D4" w:rsidRDefault="00670AD4" w:rsidP="00640705">
      <w:r>
        <w:separator/>
      </w:r>
    </w:p>
  </w:endnote>
  <w:endnote w:type="continuationSeparator" w:id="0">
    <w:p w:rsidR="00670AD4" w:rsidRDefault="00670AD4" w:rsidP="0064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D4" w:rsidRDefault="00670AD4" w:rsidP="00640705">
      <w:r>
        <w:separator/>
      </w:r>
    </w:p>
  </w:footnote>
  <w:footnote w:type="continuationSeparator" w:id="0">
    <w:p w:rsidR="00670AD4" w:rsidRDefault="00670AD4" w:rsidP="00640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3_"/>
      </v:shape>
    </w:pict>
  </w:numPicBullet>
  <w:abstractNum w:abstractNumId="0">
    <w:nsid w:val="00D174EF"/>
    <w:multiLevelType w:val="hybridMultilevel"/>
    <w:tmpl w:val="C7F21470"/>
    <w:lvl w:ilvl="0" w:tplc="0BAAC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8"/>
      </w:rPr>
    </w:lvl>
    <w:lvl w:ilvl="1" w:tplc="7E0E79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07B91"/>
    <w:multiLevelType w:val="multilevel"/>
    <w:tmpl w:val="5E067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22949"/>
    <w:multiLevelType w:val="multilevel"/>
    <w:tmpl w:val="11CE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33"/>
    <w:rsid w:val="00006158"/>
    <w:rsid w:val="00014FE3"/>
    <w:rsid w:val="0002229F"/>
    <w:rsid w:val="00024177"/>
    <w:rsid w:val="00024ACC"/>
    <w:rsid w:val="000329B0"/>
    <w:rsid w:val="000422DD"/>
    <w:rsid w:val="00043D76"/>
    <w:rsid w:val="00045E49"/>
    <w:rsid w:val="0006367B"/>
    <w:rsid w:val="000653A8"/>
    <w:rsid w:val="000662E6"/>
    <w:rsid w:val="000664B0"/>
    <w:rsid w:val="000736A6"/>
    <w:rsid w:val="000855A6"/>
    <w:rsid w:val="00095054"/>
    <w:rsid w:val="000A2D3B"/>
    <w:rsid w:val="000A4D39"/>
    <w:rsid w:val="000A5C33"/>
    <w:rsid w:val="000B6DBC"/>
    <w:rsid w:val="000C5734"/>
    <w:rsid w:val="000F2B48"/>
    <w:rsid w:val="001116AC"/>
    <w:rsid w:val="00113925"/>
    <w:rsid w:val="00115046"/>
    <w:rsid w:val="001168E5"/>
    <w:rsid w:val="001203F8"/>
    <w:rsid w:val="00121209"/>
    <w:rsid w:val="00132EFF"/>
    <w:rsid w:val="00134DFE"/>
    <w:rsid w:val="00134EFF"/>
    <w:rsid w:val="0013538E"/>
    <w:rsid w:val="001376E5"/>
    <w:rsid w:val="00142F9B"/>
    <w:rsid w:val="00145081"/>
    <w:rsid w:val="001505EC"/>
    <w:rsid w:val="00160805"/>
    <w:rsid w:val="00174068"/>
    <w:rsid w:val="001744FF"/>
    <w:rsid w:val="0018736C"/>
    <w:rsid w:val="00191653"/>
    <w:rsid w:val="00193253"/>
    <w:rsid w:val="00194168"/>
    <w:rsid w:val="001944E5"/>
    <w:rsid w:val="001A38F2"/>
    <w:rsid w:val="001C4803"/>
    <w:rsid w:val="001D0055"/>
    <w:rsid w:val="001D02A6"/>
    <w:rsid w:val="001D1148"/>
    <w:rsid w:val="001D3447"/>
    <w:rsid w:val="001D4AF7"/>
    <w:rsid w:val="001D5CC7"/>
    <w:rsid w:val="001E1A87"/>
    <w:rsid w:val="001E4C43"/>
    <w:rsid w:val="001F6287"/>
    <w:rsid w:val="00202A43"/>
    <w:rsid w:val="00202C86"/>
    <w:rsid w:val="00203127"/>
    <w:rsid w:val="002038F2"/>
    <w:rsid w:val="00207C09"/>
    <w:rsid w:val="00213249"/>
    <w:rsid w:val="00215F3F"/>
    <w:rsid w:val="002216F5"/>
    <w:rsid w:val="002322A5"/>
    <w:rsid w:val="00232CC0"/>
    <w:rsid w:val="00236F83"/>
    <w:rsid w:val="002441B3"/>
    <w:rsid w:val="00250981"/>
    <w:rsid w:val="002547EA"/>
    <w:rsid w:val="00276149"/>
    <w:rsid w:val="002818E5"/>
    <w:rsid w:val="002938B6"/>
    <w:rsid w:val="00293EF5"/>
    <w:rsid w:val="00297834"/>
    <w:rsid w:val="002A69C3"/>
    <w:rsid w:val="002C3610"/>
    <w:rsid w:val="002D0D7F"/>
    <w:rsid w:val="002D5D84"/>
    <w:rsid w:val="002D756A"/>
    <w:rsid w:val="002E554D"/>
    <w:rsid w:val="002F09D4"/>
    <w:rsid w:val="002F7FD8"/>
    <w:rsid w:val="00310633"/>
    <w:rsid w:val="00314703"/>
    <w:rsid w:val="00316904"/>
    <w:rsid w:val="00321B3C"/>
    <w:rsid w:val="00324446"/>
    <w:rsid w:val="00330717"/>
    <w:rsid w:val="00347A03"/>
    <w:rsid w:val="00352AA0"/>
    <w:rsid w:val="0036273A"/>
    <w:rsid w:val="00363515"/>
    <w:rsid w:val="00367181"/>
    <w:rsid w:val="0038457D"/>
    <w:rsid w:val="003973B6"/>
    <w:rsid w:val="003A0708"/>
    <w:rsid w:val="003A36B5"/>
    <w:rsid w:val="003A7DAC"/>
    <w:rsid w:val="003C47E9"/>
    <w:rsid w:val="003D020D"/>
    <w:rsid w:val="003D2C53"/>
    <w:rsid w:val="003F24DF"/>
    <w:rsid w:val="003F4A8B"/>
    <w:rsid w:val="003F57D5"/>
    <w:rsid w:val="004004F6"/>
    <w:rsid w:val="00407748"/>
    <w:rsid w:val="00412161"/>
    <w:rsid w:val="00415372"/>
    <w:rsid w:val="0042150B"/>
    <w:rsid w:val="00421C49"/>
    <w:rsid w:val="00421F7D"/>
    <w:rsid w:val="00422F9A"/>
    <w:rsid w:val="00433255"/>
    <w:rsid w:val="004506E2"/>
    <w:rsid w:val="00454A9D"/>
    <w:rsid w:val="004617F6"/>
    <w:rsid w:val="0047591F"/>
    <w:rsid w:val="00482571"/>
    <w:rsid w:val="00485C30"/>
    <w:rsid w:val="00487C02"/>
    <w:rsid w:val="004909CB"/>
    <w:rsid w:val="00491850"/>
    <w:rsid w:val="00492F3C"/>
    <w:rsid w:val="00493641"/>
    <w:rsid w:val="00494ADE"/>
    <w:rsid w:val="00496520"/>
    <w:rsid w:val="004A5F32"/>
    <w:rsid w:val="004B57F9"/>
    <w:rsid w:val="004B7C30"/>
    <w:rsid w:val="004C36FF"/>
    <w:rsid w:val="004C3860"/>
    <w:rsid w:val="004C71AC"/>
    <w:rsid w:val="004D7502"/>
    <w:rsid w:val="004D775C"/>
    <w:rsid w:val="004D7EE8"/>
    <w:rsid w:val="004E1BB4"/>
    <w:rsid w:val="004E449A"/>
    <w:rsid w:val="004E5BF3"/>
    <w:rsid w:val="00500C71"/>
    <w:rsid w:val="00505FD1"/>
    <w:rsid w:val="00507AC6"/>
    <w:rsid w:val="005204AE"/>
    <w:rsid w:val="0052513A"/>
    <w:rsid w:val="00532FEE"/>
    <w:rsid w:val="005363DF"/>
    <w:rsid w:val="0054469D"/>
    <w:rsid w:val="00563D5B"/>
    <w:rsid w:val="005644C8"/>
    <w:rsid w:val="005657D6"/>
    <w:rsid w:val="00592D0A"/>
    <w:rsid w:val="005A00DD"/>
    <w:rsid w:val="005A1DBC"/>
    <w:rsid w:val="005A6DE3"/>
    <w:rsid w:val="005D43DC"/>
    <w:rsid w:val="005E77CA"/>
    <w:rsid w:val="005F3A70"/>
    <w:rsid w:val="00614F78"/>
    <w:rsid w:val="00640705"/>
    <w:rsid w:val="00641DB1"/>
    <w:rsid w:val="00642954"/>
    <w:rsid w:val="006448F4"/>
    <w:rsid w:val="006523D0"/>
    <w:rsid w:val="006567D6"/>
    <w:rsid w:val="00670AD4"/>
    <w:rsid w:val="00674B9A"/>
    <w:rsid w:val="006929AD"/>
    <w:rsid w:val="00696F77"/>
    <w:rsid w:val="006A15D4"/>
    <w:rsid w:val="006A19E2"/>
    <w:rsid w:val="006B7C3D"/>
    <w:rsid w:val="006C10C8"/>
    <w:rsid w:val="006C77DD"/>
    <w:rsid w:val="006D2005"/>
    <w:rsid w:val="006D508E"/>
    <w:rsid w:val="006D525B"/>
    <w:rsid w:val="006F6903"/>
    <w:rsid w:val="00700DB3"/>
    <w:rsid w:val="007072BE"/>
    <w:rsid w:val="00710F01"/>
    <w:rsid w:val="00711023"/>
    <w:rsid w:val="00714E93"/>
    <w:rsid w:val="00724782"/>
    <w:rsid w:val="00741970"/>
    <w:rsid w:val="00747434"/>
    <w:rsid w:val="00750AF4"/>
    <w:rsid w:val="00760FC4"/>
    <w:rsid w:val="00762DDA"/>
    <w:rsid w:val="00767817"/>
    <w:rsid w:val="00773982"/>
    <w:rsid w:val="00776A7C"/>
    <w:rsid w:val="007A1F88"/>
    <w:rsid w:val="007A3EDE"/>
    <w:rsid w:val="007A6622"/>
    <w:rsid w:val="007A7ECB"/>
    <w:rsid w:val="007B3549"/>
    <w:rsid w:val="007C0796"/>
    <w:rsid w:val="007C3FC4"/>
    <w:rsid w:val="007E1284"/>
    <w:rsid w:val="007E1ECB"/>
    <w:rsid w:val="007F580B"/>
    <w:rsid w:val="007F5E2F"/>
    <w:rsid w:val="007F6D87"/>
    <w:rsid w:val="008039E8"/>
    <w:rsid w:val="00803BB1"/>
    <w:rsid w:val="008041BA"/>
    <w:rsid w:val="00804E8B"/>
    <w:rsid w:val="008106E0"/>
    <w:rsid w:val="00812848"/>
    <w:rsid w:val="00820197"/>
    <w:rsid w:val="00825B3A"/>
    <w:rsid w:val="00826C79"/>
    <w:rsid w:val="0084102A"/>
    <w:rsid w:val="00850F59"/>
    <w:rsid w:val="00853EA0"/>
    <w:rsid w:val="00857905"/>
    <w:rsid w:val="00871665"/>
    <w:rsid w:val="00874ACC"/>
    <w:rsid w:val="008764ED"/>
    <w:rsid w:val="008805EA"/>
    <w:rsid w:val="00893A5C"/>
    <w:rsid w:val="008A1FAE"/>
    <w:rsid w:val="008C0F71"/>
    <w:rsid w:val="008C16D7"/>
    <w:rsid w:val="008C38D9"/>
    <w:rsid w:val="008D53FC"/>
    <w:rsid w:val="008E76B0"/>
    <w:rsid w:val="008F1AA7"/>
    <w:rsid w:val="008F54D2"/>
    <w:rsid w:val="008F56BC"/>
    <w:rsid w:val="008F7093"/>
    <w:rsid w:val="008F7BCE"/>
    <w:rsid w:val="008F7EB9"/>
    <w:rsid w:val="0090735F"/>
    <w:rsid w:val="00923934"/>
    <w:rsid w:val="00925769"/>
    <w:rsid w:val="00925ECB"/>
    <w:rsid w:val="00930EF1"/>
    <w:rsid w:val="009319DC"/>
    <w:rsid w:val="0093218B"/>
    <w:rsid w:val="0093368A"/>
    <w:rsid w:val="009512CC"/>
    <w:rsid w:val="009515B8"/>
    <w:rsid w:val="00955505"/>
    <w:rsid w:val="00956E19"/>
    <w:rsid w:val="00961A58"/>
    <w:rsid w:val="00963A0B"/>
    <w:rsid w:val="009640B3"/>
    <w:rsid w:val="009727A9"/>
    <w:rsid w:val="00980B52"/>
    <w:rsid w:val="00981930"/>
    <w:rsid w:val="00982B34"/>
    <w:rsid w:val="009855E4"/>
    <w:rsid w:val="00994C49"/>
    <w:rsid w:val="009970F4"/>
    <w:rsid w:val="009976B3"/>
    <w:rsid w:val="00997E66"/>
    <w:rsid w:val="009A3743"/>
    <w:rsid w:val="009A383A"/>
    <w:rsid w:val="009A607C"/>
    <w:rsid w:val="009C2B2A"/>
    <w:rsid w:val="009C323B"/>
    <w:rsid w:val="009C4D49"/>
    <w:rsid w:val="009C5C6B"/>
    <w:rsid w:val="009D25E2"/>
    <w:rsid w:val="009D529F"/>
    <w:rsid w:val="009E422B"/>
    <w:rsid w:val="009F4E84"/>
    <w:rsid w:val="00A126C9"/>
    <w:rsid w:val="00A171D1"/>
    <w:rsid w:val="00A23F52"/>
    <w:rsid w:val="00A25267"/>
    <w:rsid w:val="00A34A6D"/>
    <w:rsid w:val="00A37E70"/>
    <w:rsid w:val="00A412B7"/>
    <w:rsid w:val="00A46D51"/>
    <w:rsid w:val="00A50704"/>
    <w:rsid w:val="00A562E9"/>
    <w:rsid w:val="00A572F1"/>
    <w:rsid w:val="00A57ACE"/>
    <w:rsid w:val="00A72273"/>
    <w:rsid w:val="00A7476D"/>
    <w:rsid w:val="00A80F7E"/>
    <w:rsid w:val="00A92419"/>
    <w:rsid w:val="00AB025F"/>
    <w:rsid w:val="00AB18E5"/>
    <w:rsid w:val="00AB20E6"/>
    <w:rsid w:val="00AB311E"/>
    <w:rsid w:val="00AB39D4"/>
    <w:rsid w:val="00AD3D76"/>
    <w:rsid w:val="00AE78F6"/>
    <w:rsid w:val="00AF0146"/>
    <w:rsid w:val="00AF4B96"/>
    <w:rsid w:val="00AF6C15"/>
    <w:rsid w:val="00B04914"/>
    <w:rsid w:val="00B04C33"/>
    <w:rsid w:val="00B10529"/>
    <w:rsid w:val="00B111B6"/>
    <w:rsid w:val="00B17262"/>
    <w:rsid w:val="00B360A3"/>
    <w:rsid w:val="00B47A10"/>
    <w:rsid w:val="00B47E04"/>
    <w:rsid w:val="00B543DA"/>
    <w:rsid w:val="00B636EA"/>
    <w:rsid w:val="00B75F7E"/>
    <w:rsid w:val="00B82948"/>
    <w:rsid w:val="00B87ADA"/>
    <w:rsid w:val="00B91493"/>
    <w:rsid w:val="00B92225"/>
    <w:rsid w:val="00BA07BC"/>
    <w:rsid w:val="00BE4EA4"/>
    <w:rsid w:val="00BF1591"/>
    <w:rsid w:val="00BF2A6F"/>
    <w:rsid w:val="00BF61BF"/>
    <w:rsid w:val="00C0260B"/>
    <w:rsid w:val="00C03C5E"/>
    <w:rsid w:val="00C10C70"/>
    <w:rsid w:val="00C12BA6"/>
    <w:rsid w:val="00C1473B"/>
    <w:rsid w:val="00C2516A"/>
    <w:rsid w:val="00C26CCF"/>
    <w:rsid w:val="00C3141D"/>
    <w:rsid w:val="00C32622"/>
    <w:rsid w:val="00C33862"/>
    <w:rsid w:val="00C37602"/>
    <w:rsid w:val="00C51F83"/>
    <w:rsid w:val="00C526AE"/>
    <w:rsid w:val="00C54D19"/>
    <w:rsid w:val="00C564F5"/>
    <w:rsid w:val="00C576C4"/>
    <w:rsid w:val="00C57B03"/>
    <w:rsid w:val="00C63856"/>
    <w:rsid w:val="00C67752"/>
    <w:rsid w:val="00C67D0E"/>
    <w:rsid w:val="00C80470"/>
    <w:rsid w:val="00C9242F"/>
    <w:rsid w:val="00CA4B3E"/>
    <w:rsid w:val="00CA5262"/>
    <w:rsid w:val="00CB073E"/>
    <w:rsid w:val="00CB2921"/>
    <w:rsid w:val="00CC28A3"/>
    <w:rsid w:val="00CC44FC"/>
    <w:rsid w:val="00CC4847"/>
    <w:rsid w:val="00CC785F"/>
    <w:rsid w:val="00CD0307"/>
    <w:rsid w:val="00CD235C"/>
    <w:rsid w:val="00CD25C6"/>
    <w:rsid w:val="00CF12A0"/>
    <w:rsid w:val="00D03492"/>
    <w:rsid w:val="00D102AB"/>
    <w:rsid w:val="00D14311"/>
    <w:rsid w:val="00D22C16"/>
    <w:rsid w:val="00D23F0B"/>
    <w:rsid w:val="00D2566D"/>
    <w:rsid w:val="00D35E41"/>
    <w:rsid w:val="00D36550"/>
    <w:rsid w:val="00D4000A"/>
    <w:rsid w:val="00D40E2A"/>
    <w:rsid w:val="00D44C13"/>
    <w:rsid w:val="00D47F93"/>
    <w:rsid w:val="00D6076C"/>
    <w:rsid w:val="00D612F5"/>
    <w:rsid w:val="00D67D55"/>
    <w:rsid w:val="00D77C46"/>
    <w:rsid w:val="00D8267E"/>
    <w:rsid w:val="00D833CA"/>
    <w:rsid w:val="00D93AAA"/>
    <w:rsid w:val="00D95AC1"/>
    <w:rsid w:val="00DA566D"/>
    <w:rsid w:val="00DA6EBC"/>
    <w:rsid w:val="00DB1BED"/>
    <w:rsid w:val="00DB25A2"/>
    <w:rsid w:val="00DB36F3"/>
    <w:rsid w:val="00DC4965"/>
    <w:rsid w:val="00DC68C2"/>
    <w:rsid w:val="00DC6983"/>
    <w:rsid w:val="00DD59F3"/>
    <w:rsid w:val="00DE5917"/>
    <w:rsid w:val="00DF62E8"/>
    <w:rsid w:val="00E01C1C"/>
    <w:rsid w:val="00E025C6"/>
    <w:rsid w:val="00E059C5"/>
    <w:rsid w:val="00E22036"/>
    <w:rsid w:val="00E23B9F"/>
    <w:rsid w:val="00E2677B"/>
    <w:rsid w:val="00E33D52"/>
    <w:rsid w:val="00E35555"/>
    <w:rsid w:val="00E37C2C"/>
    <w:rsid w:val="00E52873"/>
    <w:rsid w:val="00E5292B"/>
    <w:rsid w:val="00E55D21"/>
    <w:rsid w:val="00E6006D"/>
    <w:rsid w:val="00E61460"/>
    <w:rsid w:val="00E620C3"/>
    <w:rsid w:val="00E64268"/>
    <w:rsid w:val="00E70399"/>
    <w:rsid w:val="00E73BA4"/>
    <w:rsid w:val="00EC1E54"/>
    <w:rsid w:val="00EC47C6"/>
    <w:rsid w:val="00ED1ED7"/>
    <w:rsid w:val="00ED2A6C"/>
    <w:rsid w:val="00ED321F"/>
    <w:rsid w:val="00EF070C"/>
    <w:rsid w:val="00EF0A4C"/>
    <w:rsid w:val="00EF3C78"/>
    <w:rsid w:val="00F21891"/>
    <w:rsid w:val="00F4572F"/>
    <w:rsid w:val="00F52E1D"/>
    <w:rsid w:val="00F551A6"/>
    <w:rsid w:val="00F553BB"/>
    <w:rsid w:val="00F667A1"/>
    <w:rsid w:val="00F7075E"/>
    <w:rsid w:val="00F82383"/>
    <w:rsid w:val="00F9287B"/>
    <w:rsid w:val="00F97CED"/>
    <w:rsid w:val="00FA101B"/>
    <w:rsid w:val="00FA32E2"/>
    <w:rsid w:val="00FB24EB"/>
    <w:rsid w:val="00FB348D"/>
    <w:rsid w:val="00FB4BD2"/>
    <w:rsid w:val="00FB68B1"/>
    <w:rsid w:val="00FB7529"/>
    <w:rsid w:val="00FE325F"/>
    <w:rsid w:val="00FE7DD8"/>
    <w:rsid w:val="00FF56DF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qFormat/>
    <w:rsid w:val="006567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6567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6567D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67D6"/>
    <w:pPr>
      <w:spacing w:before="100" w:beforeAutospacing="1" w:after="100" w:afterAutospacing="1"/>
    </w:pPr>
  </w:style>
  <w:style w:type="character" w:styleId="Hyperlink">
    <w:name w:val="Hyperlink"/>
    <w:rsid w:val="006567D6"/>
    <w:rPr>
      <w:color w:val="0000FF"/>
      <w:u w:val="single"/>
    </w:rPr>
  </w:style>
  <w:style w:type="paragraph" w:styleId="BalloonText">
    <w:name w:val="Balloon Text"/>
    <w:basedOn w:val="Normal"/>
    <w:semiHidden/>
    <w:rsid w:val="006567D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D2C5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locked/>
    <w:rsid w:val="003D2C53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3D2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070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40705"/>
    <w:rPr>
      <w:lang w:eastAsia="zh-CN"/>
    </w:rPr>
  </w:style>
  <w:style w:type="character" w:styleId="FootnoteReference">
    <w:name w:val="footnote reference"/>
    <w:uiPriority w:val="99"/>
    <w:semiHidden/>
    <w:unhideWhenUsed/>
    <w:rsid w:val="006407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qFormat/>
    <w:rsid w:val="006567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6567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6567D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67D6"/>
    <w:pPr>
      <w:spacing w:before="100" w:beforeAutospacing="1" w:after="100" w:afterAutospacing="1"/>
    </w:pPr>
  </w:style>
  <w:style w:type="character" w:styleId="Hyperlink">
    <w:name w:val="Hyperlink"/>
    <w:rsid w:val="006567D6"/>
    <w:rPr>
      <w:color w:val="0000FF"/>
      <w:u w:val="single"/>
    </w:rPr>
  </w:style>
  <w:style w:type="paragraph" w:styleId="BalloonText">
    <w:name w:val="Balloon Text"/>
    <w:basedOn w:val="Normal"/>
    <w:semiHidden/>
    <w:rsid w:val="006567D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D2C5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locked/>
    <w:rsid w:val="003D2C53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3D2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070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40705"/>
    <w:rPr>
      <w:lang w:eastAsia="zh-CN"/>
    </w:rPr>
  </w:style>
  <w:style w:type="character" w:styleId="FootnoteReference">
    <w:name w:val="footnote reference"/>
    <w:uiPriority w:val="99"/>
    <w:semiHidden/>
    <w:unhideWhenUsed/>
    <w:rsid w:val="00640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C71A-0047-4253-898E-69E1A230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 M</vt:lpstr>
    </vt:vector>
  </TitlesOfParts>
  <Company>Microsoft</Company>
  <LinksUpToDate>false</LinksUpToDate>
  <CharactersWithSpaces>7277</CharactersWithSpaces>
  <SharedDoc>false</SharedDoc>
  <HLinks>
    <vt:vector size="6" baseType="variant">
      <vt:variant>
        <vt:i4>7929977</vt:i4>
      </vt:variant>
      <vt:variant>
        <vt:i4>0</vt:i4>
      </vt:variant>
      <vt:variant>
        <vt:i4>0</vt:i4>
      </vt:variant>
      <vt:variant>
        <vt:i4>5</vt:i4>
      </vt:variant>
      <vt:variant>
        <vt:lpwstr>http://www.maxwell.syr.edu/pa/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 M</dc:title>
  <dc:creator>mario</dc:creator>
  <cp:lastModifiedBy>Kyle Franklin</cp:lastModifiedBy>
  <cp:revision>2</cp:revision>
  <cp:lastPrinted>2013-11-21T19:42:00Z</cp:lastPrinted>
  <dcterms:created xsi:type="dcterms:W3CDTF">2013-12-30T02:46:00Z</dcterms:created>
  <dcterms:modified xsi:type="dcterms:W3CDTF">2013-12-30T02:46:00Z</dcterms:modified>
</cp:coreProperties>
</file>