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2" w:rsidRDefault="002E0222" w:rsidP="00FA70C3">
      <w:pPr>
        <w:tabs>
          <w:tab w:val="left" w:pos="1440"/>
        </w:tabs>
        <w:suppressAutoHyphens/>
        <w:ind w:right="-540"/>
        <w:jc w:val="center"/>
        <w:outlineLvl w:val="0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UNIVERSITY OF MAINE</w:t>
      </w:r>
    </w:p>
    <w:p w:rsidR="002E0222" w:rsidRDefault="002E0222" w:rsidP="00FA70C3">
      <w:pPr>
        <w:tabs>
          <w:tab w:val="left" w:pos="1440"/>
        </w:tabs>
        <w:suppressAutoHyphens/>
        <w:ind w:right="-54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SCHOOL OF SOCIAL WORK</w:t>
      </w:r>
    </w:p>
    <w:p w:rsidR="002E0222" w:rsidRDefault="002E0222" w:rsidP="00FA70C3">
      <w:pPr>
        <w:tabs>
          <w:tab w:val="left" w:pos="1440"/>
        </w:tabs>
        <w:suppressAutoHyphens/>
        <w:ind w:right="-540"/>
        <w:jc w:val="center"/>
        <w:outlineLvl w:val="0"/>
        <w:rPr>
          <w:rFonts w:ascii="Arial" w:hAnsi="Arial"/>
          <w:b/>
        </w:rPr>
      </w:pPr>
    </w:p>
    <w:p w:rsidR="00FA70C3" w:rsidRDefault="00FA70C3" w:rsidP="00FA70C3">
      <w:pPr>
        <w:tabs>
          <w:tab w:val="left" w:pos="1440"/>
        </w:tabs>
        <w:suppressAutoHyphens/>
        <w:ind w:right="-54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SWK 595 Foundation Year Field Placement</w:t>
      </w:r>
    </w:p>
    <w:p w:rsidR="00FA70C3" w:rsidRDefault="00FA70C3" w:rsidP="00FA70C3">
      <w:pPr>
        <w:suppressAutoHyphens/>
        <w:ind w:right="-54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LOG CONTACT FORM</w:t>
      </w:r>
    </w:p>
    <w:p w:rsidR="00FA70C3" w:rsidRDefault="00FA70C3" w:rsidP="00FA70C3">
      <w:pPr>
        <w:suppressAutoHyphens/>
        <w:ind w:right="-540"/>
        <w:jc w:val="center"/>
        <w:rPr>
          <w:rFonts w:ascii="Arial" w:hAnsi="Arial"/>
          <w:b/>
        </w:rPr>
      </w:pPr>
    </w:p>
    <w:p w:rsidR="00FA70C3" w:rsidRDefault="00FA70C3" w:rsidP="00FA70C3">
      <w:pPr>
        <w:suppressAutoHyphens/>
        <w:ind w:right="-540"/>
        <w:jc w:val="center"/>
        <w:rPr>
          <w:rFonts w:ascii="Arial" w:hAnsi="Arial"/>
          <w:b/>
        </w:rPr>
      </w:pPr>
    </w:p>
    <w:p w:rsidR="00FA70C3" w:rsidRDefault="00FA70C3" w:rsidP="00FA70C3">
      <w:pPr>
        <w:pStyle w:val="EndnoteText"/>
        <w:tabs>
          <w:tab w:val="left" w:pos="4680"/>
        </w:tabs>
        <w:suppressAutoHyphens/>
        <w:ind w:right="-540"/>
        <w:rPr>
          <w:rFonts w:ascii="Arial" w:hAnsi="Arial"/>
        </w:rPr>
      </w:pPr>
      <w:r>
        <w:rPr>
          <w:rFonts w:ascii="Arial" w:hAnsi="Arial"/>
        </w:rPr>
        <w:t>Name: _______________________________</w:t>
      </w:r>
      <w:r>
        <w:rPr>
          <w:rFonts w:ascii="Arial" w:hAnsi="Arial"/>
        </w:rPr>
        <w:tab/>
        <w:t>Log#: ______________________</w:t>
      </w:r>
    </w:p>
    <w:p w:rsidR="00FA70C3" w:rsidRDefault="00FA70C3" w:rsidP="00FA70C3">
      <w:pPr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  <w:b/>
        </w:rPr>
      </w:pPr>
      <w:r>
        <w:rPr>
          <w:rFonts w:ascii="Arial" w:hAnsi="Arial"/>
          <w:b/>
        </w:rPr>
        <w:t>Week of: __________________________________________________________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1. How did you spend your time this week?</w:t>
      </w:r>
    </w:p>
    <w:p w:rsidR="00FA70C3" w:rsidRDefault="00FA70C3" w:rsidP="00FA70C3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Intern’s Activities/Learning Experience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  <w:b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Total number of hours spent in the following activities: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  <w:b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338"/>
        <w:gridCol w:w="4680"/>
      </w:tblGrid>
      <w:tr w:rsidR="00FA70C3" w:rsidTr="00220EA6">
        <w:tc>
          <w:tcPr>
            <w:tcW w:w="433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MICRO Direct service activities: 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Intake/Assessment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Individual client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Other</w:t>
            </w:r>
          </w:p>
        </w:tc>
        <w:tc>
          <w:tcPr>
            <w:tcW w:w="468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Other Learning Activities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Process recordings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Progress notes/reports/paperwork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</w:t>
            </w:r>
            <w:proofErr w:type="spellStart"/>
            <w:r>
              <w:rPr>
                <w:rFonts w:ascii="Arial" w:hAnsi="Arial"/>
              </w:rPr>
              <w:t>Inservice</w:t>
            </w:r>
            <w:proofErr w:type="spellEnd"/>
            <w:r>
              <w:rPr>
                <w:rFonts w:ascii="Arial" w:hAnsi="Arial"/>
              </w:rPr>
              <w:t xml:space="preserve"> training at agency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Workshop, training, conference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Other (specify)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</w:p>
        </w:tc>
      </w:tr>
      <w:tr w:rsidR="00FA70C3" w:rsidTr="00220EA6">
        <w:tc>
          <w:tcPr>
            <w:tcW w:w="433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MEZZO Direct service activities: 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Couple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Family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Group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Service providers/collaterals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Other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</w:p>
        </w:tc>
        <w:tc>
          <w:tcPr>
            <w:tcW w:w="468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Travel Time: _____ hours</w:t>
            </w:r>
          </w:p>
        </w:tc>
      </w:tr>
      <w:tr w:rsidR="00FA70C3" w:rsidTr="00220EA6">
        <w:tc>
          <w:tcPr>
            <w:tcW w:w="433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MACRO Service activities: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Program needs assessment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Community outreach/organizing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Program development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Policy development/advocacy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Task/Committee group work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Program evaluation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_____ Other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right="-540"/>
              <w:rPr>
                <w:rFonts w:ascii="Arial" w:hAnsi="Arial"/>
              </w:rPr>
            </w:pPr>
          </w:p>
        </w:tc>
        <w:tc>
          <w:tcPr>
            <w:tcW w:w="468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ind w:left="792" w:right="-540" w:hanging="810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Supervision: Hours spent in: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left="792" w:right="-540" w:hanging="810"/>
              <w:rPr>
                <w:rFonts w:ascii="Arial" w:hAnsi="Arial"/>
              </w:rPr>
            </w:pPr>
            <w:r>
              <w:rPr>
                <w:rFonts w:ascii="Arial" w:hAnsi="Arial"/>
              </w:rPr>
              <w:t>_____ Individual face-to-face with field instructor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left="792" w:right="-540" w:hanging="810"/>
              <w:rPr>
                <w:rFonts w:ascii="Arial" w:hAnsi="Arial"/>
              </w:rPr>
            </w:pPr>
            <w:r>
              <w:rPr>
                <w:rFonts w:ascii="Arial" w:hAnsi="Arial"/>
              </w:rPr>
              <w:t>_____ Group supervision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ind w:left="792" w:right="-540" w:hanging="810"/>
              <w:rPr>
                <w:rFonts w:ascii="Arial" w:hAnsi="Arial"/>
              </w:rPr>
            </w:pPr>
            <w:r>
              <w:rPr>
                <w:rFonts w:ascii="Arial" w:hAnsi="Arial"/>
              </w:rPr>
              <w:t>_____ Other (i.e. mentor, task supervisor)</w:t>
            </w:r>
          </w:p>
        </w:tc>
      </w:tr>
    </w:tbl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outlineLvl w:val="0"/>
        <w:rPr>
          <w:rFonts w:ascii="Arial" w:hAnsi="Arial"/>
        </w:rPr>
      </w:pPr>
      <w:r>
        <w:rPr>
          <w:rFonts w:ascii="Arial" w:hAnsi="Arial"/>
        </w:rPr>
        <w:t>Total time in field placement, this log: ______________________________________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outlineLvl w:val="0"/>
        <w:rPr>
          <w:rFonts w:ascii="Arial" w:hAnsi="Arial"/>
        </w:rPr>
      </w:pPr>
      <w:r>
        <w:rPr>
          <w:rFonts w:ascii="Arial" w:hAnsi="Arial"/>
        </w:rPr>
        <w:t>Cumulative hours in field placement: _______________________________________</w:t>
      </w:r>
    </w:p>
    <w:p w:rsidR="00FA70C3" w:rsidRDefault="00FA70C3" w:rsidP="00FA70C3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  <w:u w:val="single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 xml:space="preserve">2. </w:t>
      </w:r>
      <w:r>
        <w:rPr>
          <w:rFonts w:ascii="Arial" w:hAnsi="Arial"/>
          <w:b/>
          <w:u w:val="single"/>
        </w:rPr>
        <w:t xml:space="preserve">Planned Contacts with Clients, Field Instructor, Staff, and Others </w:t>
      </w:r>
    </w:p>
    <w:p w:rsidR="00FA70C3" w:rsidRDefault="00FA70C3" w:rsidP="00FA70C3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  <w:u w:val="single"/>
        </w:rPr>
        <w:t>for</w:t>
      </w:r>
      <w:proofErr w:type="gramEnd"/>
      <w:r>
        <w:rPr>
          <w:rFonts w:ascii="Arial" w:hAnsi="Arial"/>
          <w:b/>
          <w:u w:val="single"/>
        </w:rPr>
        <w:t xml:space="preserve"> Next Week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  <w:r>
        <w:rPr>
          <w:rFonts w:ascii="Arial" w:hAnsi="Arial"/>
        </w:rPr>
        <w:t>For your next week in field: what are your planned contacts and goals for these contacts?  Be sure to de-identify any client names.</w:t>
      </w: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78"/>
        <w:gridCol w:w="5760"/>
      </w:tblGrid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Contact</w:t>
            </w:r>
          </w:p>
          <w:p w:rsidR="00FA70C3" w:rsidRDefault="00FA70C3" w:rsidP="00220EA6">
            <w:pPr>
              <w:tabs>
                <w:tab w:val="left" w:pos="-720"/>
              </w:tabs>
              <w:suppressAutoHyphens/>
              <w:spacing w:after="54"/>
              <w:ind w:right="-540"/>
              <w:jc w:val="center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Goals for Contact</w:t>
            </w: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720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666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666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  <w:tr w:rsidR="00FA70C3" w:rsidTr="00220EA6">
        <w:trPr>
          <w:trHeight w:hRule="exact" w:val="666"/>
          <w:jc w:val="center"/>
        </w:trPr>
        <w:tc>
          <w:tcPr>
            <w:tcW w:w="2678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  <w:tc>
          <w:tcPr>
            <w:tcW w:w="5760" w:type="dxa"/>
          </w:tcPr>
          <w:p w:rsidR="00FA70C3" w:rsidRDefault="00FA70C3" w:rsidP="00220EA6">
            <w:pPr>
              <w:tabs>
                <w:tab w:val="left" w:pos="-720"/>
              </w:tabs>
              <w:suppressAutoHyphens/>
              <w:spacing w:before="90" w:after="54"/>
              <w:ind w:right="-540"/>
              <w:rPr>
                <w:rFonts w:ascii="Arial" w:hAnsi="Arial"/>
              </w:rPr>
            </w:pPr>
          </w:p>
        </w:tc>
      </w:tr>
    </w:tbl>
    <w:p w:rsidR="00FA70C3" w:rsidRDefault="00FA70C3" w:rsidP="00FA70C3">
      <w:pPr>
        <w:tabs>
          <w:tab w:val="left" w:pos="-720"/>
        </w:tabs>
        <w:suppressAutoHyphens/>
        <w:ind w:right="-540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FA70C3" w:rsidRDefault="00FA70C3" w:rsidP="00FA70C3">
      <w:pPr>
        <w:suppressAutoHyphens/>
        <w:rPr>
          <w:rFonts w:ascii="Arial" w:hAnsi="Arial"/>
          <w:spacing w:val="-2"/>
        </w:rPr>
      </w:pPr>
    </w:p>
    <w:p w:rsidR="00FA70C3" w:rsidRDefault="00FA70C3" w:rsidP="00FA70C3">
      <w:pPr>
        <w:suppressAutoHyphens/>
        <w:rPr>
          <w:rFonts w:ascii="Arial" w:hAnsi="Arial"/>
          <w:spacing w:val="-2"/>
        </w:rPr>
      </w:pPr>
    </w:p>
    <w:p w:rsidR="00FA70C3" w:rsidRDefault="00FA70C3" w:rsidP="00FA70C3">
      <w:pPr>
        <w:suppressAutoHyphens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spacing w:val="-2"/>
        </w:rPr>
        <w:br w:type="page"/>
      </w:r>
      <w:r>
        <w:rPr>
          <w:rFonts w:ascii="Arial" w:hAnsi="Arial"/>
          <w:b/>
          <w:spacing w:val="-2"/>
        </w:rPr>
        <w:lastRenderedPageBreak/>
        <w:t>3. Learning Objectives Form</w:t>
      </w:r>
    </w:p>
    <w:p w:rsidR="00FA70C3" w:rsidRDefault="00FA70C3" w:rsidP="00FA70C3">
      <w:pPr>
        <w:suppressAutoHyphens/>
        <w:rPr>
          <w:rFonts w:ascii="Arial" w:hAnsi="Arial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165"/>
        <w:gridCol w:w="4691"/>
      </w:tblGrid>
      <w:tr w:rsidR="00FA70C3" w:rsidTr="00220EA6">
        <w:tc>
          <w:tcPr>
            <w:tcW w:w="4165" w:type="dxa"/>
          </w:tcPr>
          <w:p w:rsidR="00FA70C3" w:rsidRDefault="00FA70C3" w:rsidP="00220EA6">
            <w:pPr>
              <w:suppressAutoHyphens/>
              <w:ind w:left="360"/>
              <w:jc w:val="center"/>
              <w:rPr>
                <w:rFonts w:ascii="Arial" w:hAnsi="Arial"/>
                <w:spacing w:val="-2"/>
                <w:u w:val="single"/>
              </w:rPr>
            </w:pPr>
            <w:r>
              <w:rPr>
                <w:rFonts w:ascii="Arial" w:hAnsi="Arial"/>
                <w:spacing w:val="-2"/>
                <w:u w:val="single"/>
              </w:rPr>
              <w:t>Foundation Year Competencies and Practice Behaviors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jc w:val="center"/>
              <w:rPr>
                <w:rFonts w:ascii="Arial" w:hAnsi="Arial"/>
                <w:spacing w:val="-2"/>
                <w:u w:val="single"/>
              </w:rPr>
            </w:pPr>
            <w:r>
              <w:rPr>
                <w:rFonts w:ascii="Arial" w:hAnsi="Arial"/>
                <w:spacing w:val="-2"/>
                <w:u w:val="single"/>
              </w:rPr>
              <w:t>Description of Field Activities this week that help you to meet the competency and practice behaviors</w:t>
            </w: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1. Identify as a professional social worker and conduct oneself accordingly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Advocate for client access to the services of social work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Practice personal reflection and self-correction to assure continual professional development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Attend to professional roles and boundaries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professional demeanor in behavior, appearance, and communication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Engage in career-long learning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supervision and consultation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Apply social work ethical principles to guide professional practice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Recognize and manage personal values in a way that allows professional values to guide practice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Make ethical decisions by applying standards of the National Association of Social Workers Code of Ethics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Tolerate ambiguity in resolving ethical conflicts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Apply strategies of ethical reasoning to arrive at principled decisions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 Apply critical thinking to inform and communicate professional judgments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Distinguish, appraise, and integrate multiple sources of knowledge, including research-based knowledge, and practice wisdom Identify both the strengths and problems of the community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Analyze models of assessment, prevention, intervention, and evaluation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effective oral and written communication in working with individuals, families, groups, organizations, communities, and colleagues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4. Engage diversity and difference in practice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Recognize the extent to which a culture’s structures and values may oppress, marginalize, alienate, or create or enhance privilege and power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Gain sufficient self-awareness to eliminate the influence of personal biases and values in working with diverse groups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Recognize and communicate their understanding of the importance of difference in shaping life experiences</w:t>
            </w:r>
          </w:p>
          <w:p w:rsidR="00FA70C3" w:rsidRDefault="00FA70C3" w:rsidP="00FA70C3">
            <w:pPr>
              <w:widowControl w:val="0"/>
              <w:numPr>
                <w:ilvl w:val="0"/>
                <w:numId w:val="8"/>
              </w:numPr>
              <w:suppressAutoHyphens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</w:rPr>
              <w:t>View themselves as learners and engage those with whom they work as informants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5. Advance human rights and social justice</w:t>
            </w:r>
            <w:r>
              <w:rPr>
                <w:rFonts w:ascii="Arial" w:hAnsi="Arial"/>
              </w:rPr>
              <w:t xml:space="preserve"> 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 the forms and mechanisms of oppression and discrimination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Advocate for human rights and social and economic justice</w:t>
            </w:r>
          </w:p>
          <w:p w:rsidR="00FA70C3" w:rsidRDefault="00FA70C3" w:rsidP="00FA70C3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Engage in practices that advance social and economic justice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 Engage in research-informed practice and practice-informed research</w:t>
            </w:r>
          </w:p>
          <w:p w:rsidR="00FA70C3" w:rsidRDefault="00FA70C3" w:rsidP="00FA70C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practice experience to inform scientific inquiry</w:t>
            </w:r>
          </w:p>
          <w:p w:rsidR="00FA70C3" w:rsidRDefault="00FA70C3" w:rsidP="00FA70C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research evidence to inform practice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</w:tbl>
    <w:p w:rsidR="00FA70C3" w:rsidRDefault="00FA70C3" w:rsidP="00FA70C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169"/>
        <w:gridCol w:w="4691"/>
      </w:tblGrid>
      <w:tr w:rsidR="00FA70C3" w:rsidTr="00220EA6">
        <w:tc>
          <w:tcPr>
            <w:tcW w:w="4165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7. Apply knowledge of human behavior and the social environment</w:t>
            </w:r>
          </w:p>
          <w:p w:rsidR="00FA70C3" w:rsidRDefault="00FA70C3" w:rsidP="00FA70C3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Utilize conceptual frameworks to guide the processes of assessment, intervention, and evaluation</w:t>
            </w:r>
          </w:p>
          <w:p w:rsidR="00FA70C3" w:rsidRDefault="00FA70C3" w:rsidP="00FA70C3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Critique and apply knowledge to understand person and environment</w:t>
            </w:r>
          </w:p>
        </w:tc>
        <w:tc>
          <w:tcPr>
            <w:tcW w:w="4691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9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8. Engage in policy practice to advance social and economic well-being and to deliver effective social work services</w:t>
            </w:r>
          </w:p>
          <w:p w:rsidR="00FA70C3" w:rsidRDefault="00FA70C3" w:rsidP="00FA70C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Analyze, formulate, and advocate for policies that advance human well-being</w:t>
            </w:r>
          </w:p>
          <w:p w:rsidR="00FA70C3" w:rsidRDefault="00FA70C3" w:rsidP="00FA70C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Collaborate with colleagues and clients for effective policy action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87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9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9. Respond to contexts that shape practice</w:t>
            </w:r>
            <w:r>
              <w:rPr>
                <w:rFonts w:ascii="Arial" w:hAnsi="Arial"/>
              </w:rPr>
              <w:t xml:space="preserve"> </w:t>
            </w:r>
          </w:p>
          <w:p w:rsidR="00FA70C3" w:rsidRDefault="00FA70C3" w:rsidP="00FA70C3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Continuously discover, appraise, and attend to changing locales, populations, scientific and technological developments, and emerging societal trends to provide relevant services</w:t>
            </w:r>
          </w:p>
          <w:p w:rsidR="00FA70C3" w:rsidRDefault="00FA70C3" w:rsidP="00FA70C3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leadership in promoting sustainable changes in service delivery and practice to improve the quality of social services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87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9" w:type="dxa"/>
          </w:tcPr>
          <w:p w:rsidR="00FA70C3" w:rsidRDefault="00FA70C3" w:rsidP="00220EA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10. Engage, assess, intervene, and evaluate with individuals, families, groups, organizations, and communities</w:t>
            </w:r>
          </w:p>
          <w:p w:rsidR="00FA70C3" w:rsidRDefault="00FA70C3" w:rsidP="00220EA6">
            <w:pPr>
              <w:rPr>
                <w:rFonts w:ascii="Arial" w:hAnsi="Arial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- Engagement</w:t>
            </w:r>
          </w:p>
          <w:p w:rsidR="00FA70C3" w:rsidRDefault="00FA70C3" w:rsidP="00FA70C3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Substantively and affectively prepare for action with individuals, families, groups, organizations, and communities</w:t>
            </w:r>
          </w:p>
          <w:p w:rsidR="00FA70C3" w:rsidRDefault="00FA70C3" w:rsidP="00FA70C3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empathy and other interpersonal skills</w:t>
            </w:r>
          </w:p>
          <w:p w:rsidR="00FA70C3" w:rsidRDefault="00FA70C3" w:rsidP="00FA70C3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Develop a mutually agreed-on focus of work and desired outcomes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87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9" w:type="dxa"/>
          </w:tcPr>
          <w:p w:rsidR="00FA70C3" w:rsidRDefault="00FA70C3" w:rsidP="00220EA6">
            <w:pPr>
              <w:suppressAutoHyphens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Assessment</w:t>
            </w:r>
          </w:p>
          <w:p w:rsidR="00FA70C3" w:rsidRDefault="00FA70C3" w:rsidP="00FA70C3">
            <w:pPr>
              <w:numPr>
                <w:ilvl w:val="0"/>
                <w:numId w:val="5"/>
              </w:numPr>
              <w:suppressAutoHyphens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Collect, organize, and interpret client data</w:t>
            </w:r>
          </w:p>
          <w:p w:rsidR="00FA70C3" w:rsidRDefault="00FA70C3" w:rsidP="00FA70C3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client strengths and limitations</w:t>
            </w:r>
          </w:p>
          <w:p w:rsidR="00FA70C3" w:rsidRDefault="00FA70C3" w:rsidP="00FA70C3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Develop mutually agreed-on intervention goals and objectives</w:t>
            </w:r>
          </w:p>
          <w:p w:rsidR="00FA70C3" w:rsidRDefault="00FA70C3" w:rsidP="00FA70C3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Select appropriate intervention strategies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87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  <w:tr w:rsidR="00FA70C3" w:rsidTr="00220EA6">
        <w:tc>
          <w:tcPr>
            <w:tcW w:w="4169" w:type="dxa"/>
          </w:tcPr>
          <w:p w:rsidR="00FA70C3" w:rsidRDefault="00FA70C3" w:rsidP="00220EA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 Evaluation</w:t>
            </w:r>
          </w:p>
          <w:p w:rsidR="00FA70C3" w:rsidRDefault="00FA70C3" w:rsidP="00FA70C3">
            <w:pPr>
              <w:widowControl w:val="0"/>
              <w:numPr>
                <w:ilvl w:val="0"/>
                <w:numId w:val="6"/>
              </w:numPr>
              <w:suppressAutoHyphens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Social workers critically analyze, monitor, and evaluate interventions</w:t>
            </w:r>
          </w:p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</w:tc>
        <w:tc>
          <w:tcPr>
            <w:tcW w:w="4687" w:type="dxa"/>
          </w:tcPr>
          <w:p w:rsidR="00FA70C3" w:rsidRDefault="00FA70C3" w:rsidP="00220EA6">
            <w:pPr>
              <w:suppressAutoHyphens/>
              <w:ind w:left="360"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  <w:p w:rsidR="00FA70C3" w:rsidRDefault="00FA70C3" w:rsidP="00220EA6">
            <w:pPr>
              <w:suppressAutoHyphens/>
              <w:rPr>
                <w:rFonts w:ascii="Arial" w:hAnsi="Arial"/>
                <w:spacing w:val="-2"/>
              </w:rPr>
            </w:pPr>
          </w:p>
        </w:tc>
      </w:tr>
    </w:tbl>
    <w:p w:rsidR="00FA70C3" w:rsidRDefault="00FA70C3" w:rsidP="00FA70C3">
      <w:pPr>
        <w:suppressAutoHyphens/>
        <w:rPr>
          <w:rFonts w:ascii="Arial" w:hAnsi="Arial"/>
          <w:spacing w:val="-2"/>
        </w:rPr>
      </w:pPr>
    </w:p>
    <w:p w:rsidR="00FA70C3" w:rsidRDefault="00FA70C3" w:rsidP="00ED5615">
      <w:pPr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Log Narrative:</w:t>
      </w: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jc w:val="right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Jan 2013</w:t>
      </w: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>
      <w:pPr>
        <w:rPr>
          <w:rFonts w:ascii="Arial" w:hAnsi="Arial"/>
          <w:b/>
          <w:spacing w:val="-2"/>
        </w:rPr>
      </w:pPr>
    </w:p>
    <w:p w:rsidR="00ED5615" w:rsidRDefault="00ED5615" w:rsidP="00ED5615"/>
    <w:sectPr w:rsidR="00ED5615" w:rsidSect="00994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7641"/>
    <w:multiLevelType w:val="hybridMultilevel"/>
    <w:tmpl w:val="CD70DB3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932C3"/>
    <w:multiLevelType w:val="hybridMultilevel"/>
    <w:tmpl w:val="43F21A3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450D"/>
    <w:multiLevelType w:val="hybridMultilevel"/>
    <w:tmpl w:val="A5D8DF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760925"/>
    <w:multiLevelType w:val="hybridMultilevel"/>
    <w:tmpl w:val="EB7A6B3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9338D"/>
    <w:multiLevelType w:val="hybridMultilevel"/>
    <w:tmpl w:val="2CCE539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421C54"/>
    <w:multiLevelType w:val="hybridMultilevel"/>
    <w:tmpl w:val="15B4F16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0B230E"/>
    <w:multiLevelType w:val="hybridMultilevel"/>
    <w:tmpl w:val="2806BA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A78B7"/>
    <w:multiLevelType w:val="hybridMultilevel"/>
    <w:tmpl w:val="880478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EC4D13"/>
    <w:multiLevelType w:val="hybridMultilevel"/>
    <w:tmpl w:val="A802004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C3"/>
    <w:rsid w:val="000243F0"/>
    <w:rsid w:val="002E0222"/>
    <w:rsid w:val="00994287"/>
    <w:rsid w:val="00ED5615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70C3"/>
    <w:pPr>
      <w:jc w:val="center"/>
    </w:pPr>
    <w:rPr>
      <w:rFonts w:ascii="Tahoma" w:hAnsi="Tahoma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FA70C3"/>
    <w:rPr>
      <w:rFonts w:ascii="Tahoma" w:eastAsia="Times New Roman" w:hAnsi="Tahoma" w:cs="Times New Roman"/>
      <w:b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FA70C3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FA70C3"/>
    <w:rPr>
      <w:rFonts w:ascii="Courier New" w:eastAsia="Times New Roman" w:hAnsi="Courier New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70C3"/>
    <w:pPr>
      <w:jc w:val="center"/>
    </w:pPr>
    <w:rPr>
      <w:rFonts w:ascii="Tahoma" w:hAnsi="Tahoma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FA70C3"/>
    <w:rPr>
      <w:rFonts w:ascii="Tahoma" w:eastAsia="Times New Roman" w:hAnsi="Tahoma" w:cs="Times New Roman"/>
      <w:b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FA70C3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FA70C3"/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835</Words>
  <Characters>4763</Characters>
  <Application>Microsoft Macintosh Word</Application>
  <DocSecurity>4</DocSecurity>
  <Lines>39</Lines>
  <Paragraphs>11</Paragraphs>
  <ScaleCrop>false</ScaleCrop>
  <Company>Microsoft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Gail Werrbach</cp:lastModifiedBy>
  <cp:revision>2</cp:revision>
  <dcterms:created xsi:type="dcterms:W3CDTF">2013-01-31T19:57:00Z</dcterms:created>
  <dcterms:modified xsi:type="dcterms:W3CDTF">2013-01-31T19:57:00Z</dcterms:modified>
</cp:coreProperties>
</file>