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University of Maine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School of Social Work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BSW GENERALIST PRACTICE SENIOR FIELD PRACTICUM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Learning Plan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terms of this learning plan will begin on ____________and will continue through ______________. Initial planning meetings take place in the first four weeks of the semester; The end of semester assessment meeting will be scheduled during the final 2 weeks of the semester.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Student: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_______________________________________________________</w:t>
        <w:tab/>
        <w:tab/>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Faculty Field Liaison: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Field Practicum Agency: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_________________________________________________________________________________________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Phone: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 xml:space="preserve"> Name</w:t>
        <w:tab/>
        <w:tab/>
        <w:tab/>
        <w:t xml:space="preserve">Address</w:t>
        <w:tab/>
        <w:tab/>
        <w:tab/>
        <w:tab/>
        <w:t xml:space="preserve">City</w:t>
        <w:tab/>
        <w:tab/>
        <w:t xml:space="preserve">             State</w:t>
        <w:tab/>
        <w:t xml:space="preserve">   Zip</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Primary Field Instructor: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Learning Contract was developed on: Date of Meeting:   _________________</w:t>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Instructions for completing the learning plan:</w:t>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complete the “learning plan activities,” in collaboration with agency supervisors and field faculty.  “Learning plan activities” are the learning opportunities (e.g., assignments, processes, tasks) in the field setting (and potentially outside setting as needed) by which progress in the competency occurs. </w:t>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“Descriptors” are provided by the Council on Social Work Education and are intended to serve as integrated means of showing the knowledge, values, skills, and cognitive &amp; affective processes within each competency. The learning activities crafted by students should connect with multiple dimensions of each competency (Knowledge, Values, Skills, Cognitive &amp; Affective Processes); however, because evaluation of the competencies is intended to be holistic, not all dimensions must be addressed in every competency. </w:t>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student’s learning activities will be unique to her/his/their field setting, focus, interests, and opportunities. The learning contract is a “live” document that can be revised over time as activities shift and opportunities arise.</w:t>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Competencies and Learning Contract</w:t>
      </w:r>
    </w:p>
    <w:p w:rsidR="00000000" w:rsidDel="00000000" w:rsidP="00000000" w:rsidRDefault="00000000" w:rsidRPr="00000000">
      <w:pPr>
        <w:spacing w:after="0" w:before="0" w:line="240" w:lineRule="auto"/>
        <w:contextualSpacing w:val="0"/>
        <w:rPr/>
      </w:pPr>
      <w:r w:rsidDel="00000000" w:rsidR="00000000" w:rsidRPr="00000000">
        <w:rPr>
          <w:rFonts w:ascii="Times New Roman" w:cs="Times New Roman" w:eastAsia="Times New Roman" w:hAnsi="Times New Roman"/>
          <w:b w:val="1"/>
          <w:sz w:val="20"/>
          <w:szCs w:val="20"/>
          <w:rtl w:val="0"/>
        </w:rPr>
        <w:t xml:space="preserve">Competency 1 – </w:t>
      </w:r>
      <w:r w:rsidDel="00000000" w:rsidR="00000000" w:rsidRPr="00000000">
        <w:rPr>
          <w:rFonts w:ascii="Times New Roman" w:cs="Times New Roman" w:eastAsia="Times New Roman" w:hAnsi="Times New Roman"/>
          <w:b w:val="1"/>
          <w:rtl w:val="0"/>
        </w:rPr>
        <w:t xml:space="preserve">Demonstrate ethical and professional behavior</w:t>
      </w:r>
      <w:r w:rsidDel="00000000" w:rsidR="00000000" w:rsidRPr="00000000">
        <w:rPr>
          <w:rtl w:val="0"/>
        </w:rPr>
        <w:t xml:space="preserve"> </w:t>
      </w:r>
    </w:p>
    <w:p w:rsidR="00000000" w:rsidDel="00000000" w:rsidP="00000000" w:rsidRDefault="00000000" w:rsidRPr="00000000">
      <w:pPr>
        <w:spacing w:after="0" w:before="0" w:line="240" w:lineRule="auto"/>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rsidR="00000000" w:rsidDel="00000000" w:rsidP="00000000" w:rsidRDefault="00000000" w:rsidRPr="00000000">
      <w:pPr>
        <w:spacing w:after="0" w:before="0" w:line="240" w:lineRule="auto"/>
        <w:contextualSpacing w:val="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i w:val="1"/>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7"/>
        <w:gridCol w:w="5829"/>
        <w:gridCol w:w="1283"/>
        <w:gridCol w:w="988"/>
        <w:gridCol w:w="900"/>
        <w:gridCol w:w="1459"/>
        <w:tblGridChange w:id="0">
          <w:tblGrid>
            <w:gridCol w:w="4157"/>
            <w:gridCol w:w="5829"/>
            <w:gridCol w:w="1283"/>
            <w:gridCol w:w="988"/>
            <w:gridCol w:w="900"/>
            <w:gridCol w:w="1459"/>
          </w:tblGrid>
        </w:tblGridChange>
      </w:tblGrid>
      <w:tr>
        <w:trPr>
          <w:trHeight w:val="80" w:hRule="atLeast"/>
        </w:trPr>
        <w:tc>
          <w:tcPr>
            <w:vMerge w:val="restart"/>
          </w:tcPr>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r w:rsidDel="00000000" w:rsidR="00000000" w:rsidRPr="00000000">
              <w:rPr>
                <w:rtl w:val="0"/>
              </w:rPr>
            </w:r>
          </w:p>
        </w:tc>
      </w:tr>
      <w:tr>
        <w:trPr>
          <w:trHeight w:val="8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Knowledge</w:t>
            </w: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Values</w:t>
            </w: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Skills</w:t>
            </w: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r w:rsidDel="00000000" w:rsidR="00000000" w:rsidRPr="00000000">
              <w:rPr>
                <w:rtl w:val="0"/>
              </w:rPr>
            </w:r>
          </w:p>
        </w:tc>
      </w:tr>
      <w:tr>
        <w:trPr>
          <w:trHeight w:val="11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ethical decisions by applying standards of the NASW Code of Ethics, relevant laws and regulations, models for ethical decision making, ethical conduct of research, and additional codes of ethics as appropriate to context.</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self-reflection and self-regulation to manage personal values and maintain professionalism in practice situations.</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 professional demeanor in behavior, appearance, and oral, written, and electronic communication.</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technology ethically and appropriately to facilitate practice outcomes.</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supervision and consultation to guide professional judgment and behavior.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tab/>
        <w:tab/>
        <w:tab/>
        <w:tab/>
        <w:tab/>
        <w:tab/>
        <w:tab/>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Competency 2 – </w:t>
      </w:r>
      <w:r w:rsidDel="00000000" w:rsidR="00000000" w:rsidRPr="00000000">
        <w:rPr>
          <w:rFonts w:ascii="Times New Roman" w:cs="Times New Roman" w:eastAsia="Times New Roman" w:hAnsi="Times New Roman"/>
          <w:b w:val="1"/>
          <w:rtl w:val="0"/>
        </w:rPr>
        <w:t xml:space="preserve">Engage diversity and difference in practice</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8"/>
          <w:szCs w:val="18"/>
          <w:rtl w:val="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r w:rsidDel="00000000" w:rsidR="00000000" w:rsidRPr="00000000">
        <w:rPr>
          <w:rtl w:val="0"/>
        </w:rPr>
      </w:r>
    </w:p>
    <w:tbl>
      <w:tblPr>
        <w:tblStyle w:val="Table2"/>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and communicate understanding of the importance of diversity and difference shaping life experiences in practice at the micro, mezzo, and macro levels.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themselves as learners and engage client and constituencies as experts of their own experiences.</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self-awareness and self-regulation to manage the influence of personal biases and values in working with diverse client and constituencies.</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3 – Advance human rights and social, economic, and environmental justice.</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rsidR="00000000" w:rsidDel="00000000" w:rsidP="00000000" w:rsidRDefault="00000000" w:rsidRPr="00000000">
      <w:pPr>
        <w:spacing w:before="0" w:line="240" w:lineRule="auto"/>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3"/>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their understanding of social, economic, and environmental justice to advocate for human rights at the individual and systems levels.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in practices that advance social, economic, and environmental justice. </w:t>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4 – Engage in practice-informed research and research-informed practice.</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sz w:val="24"/>
          <w:szCs w:val="24"/>
        </w:rPr>
      </w:pPr>
      <w:r w:rsidDel="00000000" w:rsidR="00000000" w:rsidRPr="00000000">
        <w:rPr>
          <w:rFonts w:ascii="Times" w:cs="Times" w:eastAsia="Times" w:hAnsi="Times"/>
          <w:i w:val="1"/>
          <w:sz w:val="18"/>
          <w:szCs w:val="18"/>
          <w:rtl w:val="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Del="00000000" w:rsidR="00000000" w:rsidRPr="00000000">
        <w:rPr>
          <w:rFonts w:ascii="Times" w:cs="Times" w:eastAsia="Times" w:hAnsi="Times"/>
          <w:sz w:val="24"/>
          <w:szCs w:val="24"/>
          <w:rtl w:val="0"/>
        </w:rPr>
        <w:t xml:space="preserve"> </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practice experience and theory to inform scientific research.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critical thinking to engage in analysis of quantitative and qualitative research methods and research findings.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and translate research evidence to inform and improve practice, policy, and service delivery.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5 – Engage in policy practice.</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rsidR="00000000" w:rsidDel="00000000" w:rsidP="00000000" w:rsidRDefault="00000000" w:rsidRPr="00000000">
      <w:pPr>
        <w:spacing w:before="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5"/>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social policy and the local, state, and federal level that impacts well-being, service delivery, and access to social services.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 how social welfare and economic policies impact the delivery of and access to social services.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critical thinking to analyze, formulate, and advocate for policies that advance human rights and social, economic, and environmental justice.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6 – Engage with individuals, families, groups, organizations, and communities.</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Style w:val="Table6"/>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Apply knowledge of human behavior and the social environment, person-in-environment, and other multi-disciplinary theoretical frameworks to engage with clients and constituencies.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empathy, reflection, and interpersonal skills to engage diverse clients and constituencies.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tab/>
        <w:tab/>
        <w:tab/>
        <w:tab/>
        <w:tab/>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7 – Assess individuals, families, groups, organizations, and communities.</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i w:val="1"/>
          <w:sz w:val="18"/>
          <w:szCs w:val="18"/>
        </w:rPr>
      </w:pPr>
      <w:r w:rsidDel="00000000" w:rsidR="00000000" w:rsidRPr="00000000">
        <w:rPr>
          <w:rFonts w:ascii="Times" w:cs="Times" w:eastAsia="Times" w:hAnsi="Times"/>
          <w:i w:val="1"/>
          <w:sz w:val="18"/>
          <w:szCs w:val="18"/>
          <w:rtl w:val="0"/>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p w:rsidR="00000000" w:rsidDel="00000000" w:rsidP="00000000" w:rsidRDefault="00000000" w:rsidRPr="00000000">
      <w:pPr>
        <w:spacing w:before="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7"/>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Collect and organize data, and apply critical thinking to interpret information from clients and constituencies.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knowledge of human behavior and the social environment, person-in-environment, and other multi-disciplinary theoretical frameworks in the analysis of assessment data from clients and constituencies.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mutually agreed-on intervention goals and objectives based on the critical assessment of strengths, needs, and challenges with clients and constituencies.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appropriate intervention strategies based on the assessment, research knowledge, and values and preferences of clients and constituencies.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8 – Intervene with individuals, families, groups, organizations, and communities. </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sz w:val="24"/>
          <w:szCs w:val="24"/>
        </w:rPr>
      </w:pPr>
      <w:r w:rsidDel="00000000" w:rsidR="00000000" w:rsidRPr="00000000">
        <w:rPr>
          <w:rFonts w:ascii="Times" w:cs="Times" w:eastAsia="Times" w:hAnsi="Times"/>
          <w:i w:val="1"/>
          <w:sz w:val="18"/>
          <w:szCs w:val="18"/>
          <w:rtl w:val="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Del="00000000" w:rsidR="00000000" w:rsidRPr="00000000">
        <w:rPr>
          <w:rFonts w:ascii="Times" w:cs="Times" w:eastAsia="Times" w:hAnsi="Times"/>
          <w:sz w:val="24"/>
          <w:szCs w:val="24"/>
          <w:rtl w:val="0"/>
        </w:rPr>
        <w:t xml:space="preserve"> </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sz w:val="24"/>
          <w:szCs w:val="24"/>
        </w:rPr>
      </w:pPr>
      <w:r w:rsidDel="00000000" w:rsidR="00000000" w:rsidRPr="00000000">
        <w:rPr>
          <w:rtl w:val="0"/>
        </w:rPr>
      </w:r>
    </w:p>
    <w:tbl>
      <w:tblPr>
        <w:tblStyle w:val="Table8"/>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Critically choose and implement interventions to achieve practice goals and enhance capacities of clients and constituencies.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knowledge of human behavior and the social environment, person-in-environment, and other multi-disciplinary frameworks in interventions with clients and constituencies. </w:t>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inter-professional collaboration as appropriate to achieve beneficial practice outcomes.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Negotiate, mediate, and advocate with and on behalf of diverse clients and constituencies.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Facilitate effective transitions and endings that advance mutually agreed-on goals.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ab/>
        <w:tab/>
        <w:tab/>
        <w:tab/>
        <w:tab/>
        <w:tab/>
        <w:tab/>
        <w:tab/>
        <w:tab/>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Competency 9 – Evaluate practice with individuals, families, groups, organizations, and communities. </w:t>
      </w:r>
    </w:p>
    <w:p w:rsidR="00000000" w:rsidDel="00000000" w:rsidP="00000000" w:rsidRDefault="00000000" w:rsidRPr="00000000">
      <w:pPr>
        <w:widowControl w:val="0"/>
        <w:tabs>
          <w:tab w:val="left" w:pos="220"/>
          <w:tab w:val="left" w:pos="720"/>
        </w:tabs>
        <w:spacing w:after="240" w:line="240" w:lineRule="auto"/>
        <w:contextualSpacing w:val="0"/>
        <w:rPr>
          <w:rFonts w:ascii="Times" w:cs="Times" w:eastAsia="Times" w:hAnsi="Times"/>
          <w:sz w:val="18"/>
          <w:szCs w:val="18"/>
        </w:rPr>
      </w:pP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w:cs="Times" w:eastAsia="Times" w:hAnsi="Times"/>
          <w:sz w:val="18"/>
          <w:szCs w:val="18"/>
          <w:rtl w:val="0"/>
        </w:rPr>
        <w:t xml:space="preserve">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rsidR="00000000" w:rsidDel="00000000" w:rsidP="00000000" w:rsidRDefault="00000000" w:rsidRPr="00000000">
      <w:pPr>
        <w:spacing w:before="0" w:line="240" w:lineRule="auto"/>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9"/>
        <w:tblW w:w="14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5850"/>
        <w:gridCol w:w="1260"/>
        <w:gridCol w:w="990"/>
        <w:gridCol w:w="900"/>
        <w:gridCol w:w="1440"/>
        <w:tblGridChange w:id="0">
          <w:tblGrid>
            <w:gridCol w:w="4158"/>
            <w:gridCol w:w="5850"/>
            <w:gridCol w:w="1260"/>
            <w:gridCol w:w="990"/>
            <w:gridCol w:w="900"/>
            <w:gridCol w:w="1440"/>
          </w:tblGrid>
        </w:tblGridChange>
      </w:tblGrid>
      <w:tr>
        <w:trPr>
          <w:trHeight w:val="520" w:hRule="atLeast"/>
        </w:trPr>
        <w:tc>
          <w:tcPr>
            <w:vMerge w:val="restart"/>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Descriptors:</w:t>
            </w:r>
          </w:p>
        </w:tc>
        <w:tc>
          <w:tcPr>
            <w:vMerge w:val="restart"/>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Contract Activities:</w:t>
            </w:r>
          </w:p>
        </w:tc>
        <w:tc>
          <w:tcPr>
            <w:gridSpan w:val="4"/>
            <w:tcBorders>
              <w:bottom w:color="000000" w:space="0" w:sz="4" w:val="single"/>
            </w:tcBorders>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Dimension of Competency Assessed via </w:t>
            </w:r>
          </w:p>
          <w:p w:rsidR="00000000" w:rsidDel="00000000" w:rsidP="00000000" w:rsidRDefault="00000000" w:rsidRPr="00000000">
            <w:pPr>
              <w:spacing w:before="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Articulated Learning Contract Activity</w:t>
            </w:r>
          </w:p>
        </w:tc>
      </w:tr>
      <w:tr>
        <w:trPr>
          <w:trHeight w:val="80" w:hRule="atLeast"/>
        </w:trPr>
        <w:tc>
          <w:tcPr>
            <w:vMerge w:val="continue"/>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tl w:val="0"/>
              </w:rPr>
            </w:r>
          </w:p>
        </w:tc>
        <w:tc>
          <w:tcPr>
            <w:vMerge w:val="continu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Knowledge</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Values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Skills</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Cognitive &amp; Affective Processes</w:t>
            </w:r>
          </w:p>
        </w:tc>
      </w:tr>
      <w:tr>
        <w:trPr>
          <w:trHeight w:val="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and use appropriate methods of evaluation of outcomes.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knowledge of human behavior and the social environment, person-in-environment, and other multi-disciplinary theoretical frameworks in the evaluation of outcomes.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Critically analyze, monitor, and evaluate intervention and program processes and outcomes.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Apply evaluation findings to improve practice effectiveness at the micro, mezzo, and macro levels. </w:t>
            </w:r>
          </w:p>
          <w:p w:rsidR="00000000" w:rsidDel="00000000" w:rsidP="00000000" w:rsidRDefault="00000000" w:rsidRPr="00000000">
            <w:pPr>
              <w:spacing w:before="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spacing w:line="240" w:lineRule="auto"/>
        <w:contextualSpacing w:val="0"/>
        <w:rPr>
          <w:rFonts w:ascii="Times New Roman" w:cs="Times New Roman" w:eastAsia="Times New Roman" w:hAnsi="Times New Roman"/>
          <w:b w:val="1"/>
          <w:i w:val="1"/>
          <w:sz w:val="20"/>
          <w:szCs w:val="20"/>
        </w:rPr>
      </w:pPr>
      <w:r w:rsidDel="00000000" w:rsidR="00000000" w:rsidRPr="00000000">
        <w:rPr>
          <w:rtl w:val="0"/>
        </w:rPr>
      </w:r>
    </w:p>
    <w:sectPr>
      <w:headerReference r:id="rId5" w:type="default"/>
      <w:footerReference r:id="rId6" w:type="default"/>
      <w:pgSz w:h="12240" w:w="15840"/>
      <w:pgMar w:bottom="634" w:top="634"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8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