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University of Maine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School of Social Work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BSW GENERALIST PRACTICE SENIOR FIELD PRACTICUM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Learning Plan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terms of this learning plan will begin on ____________and will continue through ______________. Initial planning meetings take place in the first four weeks of the semester; The end of semester assessment meeting will be scheduled during the final 2 weeks of the semester.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Student:</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_______________________________________________________</w:t>
        <w:tab/>
        <w:tab/>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Faculty Field Liaison: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___________________________________________</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Field Practicum Agency:</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_________________________________________________________________________________________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Phone: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___________________</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ab/>
        <w:tab/>
        <w:tab/>
        <w:t xml:space="preserve"> Name</w:t>
        <w:tab/>
        <w:tab/>
        <w:tab/>
        <w:t xml:space="preserve">Address</w:t>
        <w:tab/>
        <w:tab/>
        <w:tab/>
        <w:tab/>
        <w:t xml:space="preserve">City</w:t>
        <w:tab/>
        <w:tab/>
        <w:t xml:space="preserve">             State</w:t>
        <w:tab/>
        <w:t xml:space="preserve">   Zip</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Primary Field Instructor: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__________________________________________</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Learning Contract was developed on: Date of Meeting:   _________________</w:t>
        <w:tab/>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ab/>
        <w:tab/>
      </w:r>
    </w:p>
    <w:p w:rsidR="00000000" w:rsidDel="00000000" w:rsidP="00000000" w:rsidRDefault="00000000" w:rsidRPr="00000000">
      <w:pPr>
        <w:spacing w:after="0" w:line="240" w:lineRule="auto"/>
        <w:contextualSpacing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Instructions for completing the learning plan:</w:t>
      </w:r>
    </w:p>
    <w:p w:rsidR="00000000" w:rsidDel="00000000" w:rsidP="00000000" w:rsidRDefault="00000000" w:rsidRPr="00000000">
      <w:pPr>
        <w:spacing w:after="0" w:before="0"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pPr>
        <w:spacing w:after="0" w:before="0"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Students complete the “learning plan activities,” in collaboration with agency supervisors and field faculty.  “Learning plan activities” are the learning opportunities (e.g., assignments, processes, tasks) in the field setting (and potentially outside setting as needed) by which progress in the competency occurs. </w:t>
      </w:r>
    </w:p>
    <w:p w:rsidR="00000000" w:rsidDel="00000000" w:rsidP="00000000" w:rsidRDefault="00000000" w:rsidRPr="00000000">
      <w:pPr>
        <w:spacing w:after="0" w:before="0"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pPr>
        <w:spacing w:after="0" w:before="0"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“Descriptors” are provided by the Council on Social Work Education and are intended to serve as integrated means of showing the knowledge, values, skills, and cognitive &amp; affective processes within each competency. The learning activities crafted by students should connect with multiple dimensions of each competency (Knowledge, Values, Skills, Cognitive &amp; Affective Processes); however, because evaluation of the competencies is intended to be holistic, not all dimensions must be addressed in every competency. </w:t>
      </w:r>
    </w:p>
    <w:p w:rsidR="00000000" w:rsidDel="00000000" w:rsidP="00000000" w:rsidRDefault="00000000" w:rsidRPr="00000000">
      <w:pPr>
        <w:spacing w:after="0" w:before="0"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pPr>
        <w:spacing w:after="0" w:before="0"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Each student’s learning activities will be unique to her/his/their field setting, focus, interests, and opportunities. The learning contract is a “live” document that can be revised over time as activities shift and opportunities arise.</w:t>
      </w:r>
    </w:p>
    <w:p w:rsidR="00000000" w:rsidDel="00000000" w:rsidP="00000000" w:rsidRDefault="00000000" w:rsidRPr="00000000">
      <w:pPr>
        <w:spacing w:after="0" w:before="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Competencies and Learning Contract</w:t>
      </w:r>
    </w:p>
    <w:p w:rsidR="00000000" w:rsidDel="00000000" w:rsidP="00000000" w:rsidRDefault="00000000" w:rsidRPr="00000000">
      <w:pPr>
        <w:spacing w:after="0" w:before="0" w:line="240" w:lineRule="auto"/>
        <w:contextualSpacing w:val="0"/>
        <w:rPr/>
      </w:pPr>
      <w:r w:rsidDel="00000000" w:rsidR="00000000" w:rsidRPr="00000000">
        <w:rPr>
          <w:rFonts w:ascii="Times New Roman" w:cs="Times New Roman" w:eastAsia="Times New Roman" w:hAnsi="Times New Roman"/>
          <w:b w:val="1"/>
          <w:sz w:val="20"/>
          <w:szCs w:val="20"/>
          <w:rtl w:val="0"/>
        </w:rPr>
        <w:t xml:space="preserve">Competency 1 – </w:t>
      </w:r>
      <w:r w:rsidDel="00000000" w:rsidR="00000000" w:rsidRPr="00000000">
        <w:rPr>
          <w:rFonts w:ascii="Times New Roman" w:cs="Times New Roman" w:eastAsia="Times New Roman" w:hAnsi="Times New Roman"/>
          <w:b w:val="1"/>
          <w:rtl w:val="0"/>
        </w:rPr>
        <w:t xml:space="preserve">Demonstrate ethical and professional behavior</w:t>
      </w:r>
      <w:r w:rsidDel="00000000" w:rsidR="00000000" w:rsidRPr="00000000">
        <w:rPr>
          <w:rtl w:val="0"/>
        </w:rPr>
        <w:t xml:space="preserve"> </w:t>
      </w:r>
    </w:p>
    <w:p w:rsidR="00000000" w:rsidDel="00000000" w:rsidP="00000000" w:rsidRDefault="00000000" w:rsidRPr="00000000">
      <w:pPr>
        <w:spacing w:after="0" w:before="0" w:line="240" w:lineRule="auto"/>
        <w:contextualSpacing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 </w:t>
      </w:r>
    </w:p>
    <w:p w:rsidR="00000000" w:rsidDel="00000000" w:rsidP="00000000" w:rsidRDefault="00000000" w:rsidRPr="00000000">
      <w:pPr>
        <w:spacing w:after="0" w:before="0" w:line="240" w:lineRule="auto"/>
        <w:contextualSpacing w:val="0"/>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pPr>
        <w:spacing w:before="0" w:line="240" w:lineRule="auto"/>
        <w:contextualSpacing w:val="0"/>
        <w:rPr>
          <w:rFonts w:ascii="Times New Roman" w:cs="Times New Roman" w:eastAsia="Times New Roman" w:hAnsi="Times New Roman"/>
          <w:i w:val="1"/>
        </w:rPr>
      </w:pPr>
      <w:r w:rsidDel="00000000" w:rsidR="00000000" w:rsidRPr="00000000">
        <w:rPr>
          <w:rtl w:val="0"/>
        </w:rPr>
      </w:r>
    </w:p>
    <w:tbl>
      <w:tblPr>
        <w:tblStyle w:val="Table1"/>
        <w:tblW w:w="146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57"/>
        <w:gridCol w:w="5829"/>
        <w:gridCol w:w="1283"/>
        <w:gridCol w:w="988"/>
        <w:gridCol w:w="900"/>
        <w:gridCol w:w="1459"/>
        <w:tblGridChange w:id="0">
          <w:tblGrid>
            <w:gridCol w:w="4157"/>
            <w:gridCol w:w="5829"/>
            <w:gridCol w:w="1283"/>
            <w:gridCol w:w="988"/>
            <w:gridCol w:w="900"/>
            <w:gridCol w:w="1459"/>
          </w:tblGrid>
        </w:tblGridChange>
      </w:tblGrid>
      <w:tr>
        <w:trPr>
          <w:trHeight w:val="80" w:hRule="atLeast"/>
        </w:trPr>
        <w:tc>
          <w:tcPr>
            <w:vMerge w:val="restart"/>
          </w:tcPr>
          <w:p w:rsidR="00000000" w:rsidDel="00000000" w:rsidP="00000000" w:rsidRDefault="00000000" w:rsidRPr="00000000">
            <w:pPr>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Descriptors:</w:t>
            </w:r>
          </w:p>
        </w:tc>
        <w:tc>
          <w:tcPr>
            <w:vMerge w:val="restart"/>
          </w:tcPr>
          <w:p w:rsidR="00000000" w:rsidDel="00000000" w:rsidP="00000000" w:rsidRDefault="00000000" w:rsidRPr="00000000">
            <w:pPr>
              <w:spacing w:after="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after="0" w:before="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before="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Learning Contract Activities:</w:t>
            </w:r>
          </w:p>
        </w:tc>
        <w:tc>
          <w:tcPr>
            <w:gridSpan w:val="4"/>
          </w:tcPr>
          <w:p w:rsidR="00000000" w:rsidDel="00000000" w:rsidP="00000000" w:rsidRDefault="00000000" w:rsidRPr="00000000">
            <w:pPr>
              <w:spacing w:after="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Dimension of Competency Assessed via </w:t>
            </w:r>
          </w:p>
          <w:p w:rsidR="00000000" w:rsidDel="00000000" w:rsidP="00000000" w:rsidRDefault="00000000" w:rsidRPr="00000000">
            <w:pPr>
              <w:spacing w:before="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Articulated Learning Contract Activity</w:t>
            </w:r>
            <w:r w:rsidDel="00000000" w:rsidR="00000000" w:rsidRPr="00000000">
              <w:rPr>
                <w:rtl w:val="0"/>
              </w:rPr>
            </w:r>
          </w:p>
        </w:tc>
      </w:tr>
      <w:tr>
        <w:trPr>
          <w:trHeight w:val="80" w:hRule="atLeast"/>
        </w:trPr>
        <w:tc>
          <w:tcPr>
            <w:vMerge w:val="continue"/>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i w:val="1"/>
                <w:sz w:val="20"/>
                <w:szCs w:val="20"/>
                <w:rtl w:val="0"/>
              </w:rPr>
              <w:t xml:space="preserve">Knowledge</w:t>
            </w: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Values</w:t>
            </w: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Skills</w:t>
            </w: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Cognitive &amp; Affective Processes</w:t>
            </w:r>
            <w:r w:rsidDel="00000000" w:rsidR="00000000" w:rsidRPr="00000000">
              <w:rPr>
                <w:rtl w:val="0"/>
              </w:rPr>
            </w:r>
          </w:p>
        </w:tc>
      </w:tr>
      <w:tr>
        <w:trPr>
          <w:trHeight w:val="1120" w:hRule="atLeast"/>
        </w:trP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Make ethical decisions by applying standards of the NASW Code of Ethics, relevant laws and regulations, models for ethical decision making, ethical conduct of research, and additional codes of ethics as appropriate to context.</w:t>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r>
        <w:trPr>
          <w:trHeight w:val="80" w:hRule="atLeast"/>
        </w:trPr>
        <w:tc>
          <w:tcPr/>
          <w:p w:rsidR="00000000" w:rsidDel="00000000" w:rsidP="00000000" w:rsidRDefault="00000000" w:rsidRPr="00000000">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self-reflection and self-regulation to manage personal values and maintain professionalism in practice situations.</w:t>
            </w:r>
          </w:p>
          <w:p w:rsidR="00000000" w:rsidDel="00000000" w:rsidP="00000000" w:rsidRDefault="00000000" w:rsidRPr="00000000">
            <w:pPr>
              <w:spacing w:before="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r>
        <w:trPr>
          <w:trHeight w:val="80" w:hRule="atLeast"/>
        </w:trPr>
        <w:tc>
          <w:tcPr/>
          <w:p w:rsidR="00000000" w:rsidDel="00000000" w:rsidP="00000000" w:rsidRDefault="00000000" w:rsidRPr="00000000">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Demonstrate professional demeanor in behavior, appearance, and oral, written, and electronic communication.</w:t>
            </w:r>
          </w:p>
          <w:p w:rsidR="00000000" w:rsidDel="00000000" w:rsidP="00000000" w:rsidRDefault="00000000" w:rsidRPr="00000000">
            <w:pPr>
              <w:spacing w:before="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r>
        <w:trPr>
          <w:trHeight w:val="80" w:hRule="atLeast"/>
        </w:trPr>
        <w:tc>
          <w:tcPr/>
          <w:p w:rsidR="00000000" w:rsidDel="00000000" w:rsidP="00000000" w:rsidRDefault="00000000" w:rsidRPr="00000000">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technology ethically and appropriately to facilitate practice outcomes.</w:t>
            </w:r>
          </w:p>
          <w:p w:rsidR="00000000" w:rsidDel="00000000" w:rsidP="00000000" w:rsidRDefault="00000000" w:rsidRPr="00000000">
            <w:pPr>
              <w:spacing w:before="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r>
        <w:trPr>
          <w:trHeight w:val="80" w:hRule="atLeast"/>
        </w:trPr>
        <w:tc>
          <w:tcPr/>
          <w:p w:rsidR="00000000" w:rsidDel="00000000" w:rsidP="00000000" w:rsidRDefault="00000000" w:rsidRPr="00000000">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supervision and consultation to guide professional judgment and behavior. </w:t>
            </w:r>
          </w:p>
          <w:p w:rsidR="00000000" w:rsidDel="00000000" w:rsidP="00000000" w:rsidRDefault="00000000" w:rsidRPr="00000000">
            <w:pPr>
              <w:spacing w:before="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pPr>
        <w:spacing w:after="0" w:line="240" w:lineRule="auto"/>
        <w:contextualSpacing w:val="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ab/>
        <w:tab/>
        <w:tab/>
        <w:tab/>
        <w:tab/>
        <w:tab/>
        <w:tab/>
        <w:tab/>
      </w:r>
    </w:p>
    <w:p w:rsidR="00000000" w:rsidDel="00000000" w:rsidP="00000000" w:rsidRDefault="00000000" w:rsidRPr="00000000">
      <w:pPr>
        <w:spacing w:after="0" w:before="0" w:line="240" w:lineRule="auto"/>
        <w:contextualSpacing w:val="0"/>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 xml:space="preserve">Competency 2 – </w:t>
      </w:r>
      <w:r w:rsidDel="00000000" w:rsidR="00000000" w:rsidRPr="00000000">
        <w:rPr>
          <w:rFonts w:ascii="Times New Roman" w:cs="Times New Roman" w:eastAsia="Times New Roman" w:hAnsi="Times New Roman"/>
          <w:b w:val="1"/>
          <w:rtl w:val="0"/>
        </w:rPr>
        <w:t xml:space="preserve">Engage diversity and difference in practice</w:t>
      </w: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pPr>
        <w:spacing w:after="280" w:before="280" w:line="240" w:lineRule="auto"/>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18"/>
          <w:szCs w:val="18"/>
          <w:rtl w:val="0"/>
        </w:rPr>
        <w:t xml:space="preserve">Social workers understand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Social workers understand that, as a consequence of difference, a person’s life experiences may include oppression, poverty, marginalization, and alienation as well as privilege, power, and acclaim. Social workers also understand the forms and mechanisms of oppression and discrimination and recognize the extent to which a culture’s structures and values, including social, economic, political, and cultural exclusions, may oppress, marginalize, alienate, or create privilege and power.</w:t>
      </w:r>
      <w:r w:rsidDel="00000000" w:rsidR="00000000" w:rsidRPr="00000000">
        <w:rPr>
          <w:rtl w:val="0"/>
        </w:rPr>
      </w:r>
    </w:p>
    <w:tbl>
      <w:tblPr>
        <w:tblStyle w:val="Table2"/>
        <w:tblW w:w="145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58"/>
        <w:gridCol w:w="5850"/>
        <w:gridCol w:w="1260"/>
        <w:gridCol w:w="990"/>
        <w:gridCol w:w="900"/>
        <w:gridCol w:w="1440"/>
        <w:tblGridChange w:id="0">
          <w:tblGrid>
            <w:gridCol w:w="4158"/>
            <w:gridCol w:w="5850"/>
            <w:gridCol w:w="1260"/>
            <w:gridCol w:w="990"/>
            <w:gridCol w:w="900"/>
            <w:gridCol w:w="1440"/>
          </w:tblGrid>
        </w:tblGridChange>
      </w:tblGrid>
      <w:tr>
        <w:trPr>
          <w:trHeight w:val="520" w:hRule="atLeast"/>
        </w:trPr>
        <w:tc>
          <w:tcPr>
            <w:vMerge w:val="restart"/>
            <w:tcBorders>
              <w:bottom w:color="000000" w:space="0" w:sz="4" w:val="single"/>
            </w:tcBorders>
          </w:tcPr>
          <w:p w:rsidR="00000000" w:rsidDel="00000000" w:rsidP="00000000" w:rsidRDefault="00000000" w:rsidRPr="00000000">
            <w:pPr>
              <w:spacing w:after="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after="0" w:before="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before="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Descriptors:</w:t>
            </w:r>
          </w:p>
        </w:tc>
        <w:tc>
          <w:tcPr>
            <w:vMerge w:val="restart"/>
          </w:tcPr>
          <w:p w:rsidR="00000000" w:rsidDel="00000000" w:rsidP="00000000" w:rsidRDefault="00000000" w:rsidRPr="00000000">
            <w:pPr>
              <w:spacing w:after="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after="0" w:before="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before="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Learning Contract Activities:</w:t>
            </w:r>
          </w:p>
        </w:tc>
        <w:tc>
          <w:tcPr>
            <w:gridSpan w:val="4"/>
            <w:tcBorders>
              <w:bottom w:color="000000" w:space="0" w:sz="4" w:val="single"/>
            </w:tcBorders>
          </w:tcPr>
          <w:p w:rsidR="00000000" w:rsidDel="00000000" w:rsidP="00000000" w:rsidRDefault="00000000" w:rsidRPr="00000000">
            <w:pPr>
              <w:spacing w:after="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Dimension of Competency Assessed via </w:t>
            </w:r>
          </w:p>
          <w:p w:rsidR="00000000" w:rsidDel="00000000" w:rsidP="00000000" w:rsidRDefault="00000000" w:rsidRPr="00000000">
            <w:pPr>
              <w:spacing w:before="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Articulated Learning Contract Activity</w:t>
            </w:r>
          </w:p>
        </w:tc>
      </w:tr>
      <w:tr>
        <w:trPr>
          <w:trHeight w:val="80" w:hRule="atLeast"/>
        </w:trPr>
        <w:tc>
          <w:tcPr>
            <w:vMerge w:val="continue"/>
            <w:tcBorders>
              <w:bottom w:color="000000" w:space="0" w:sz="4" w:val="single"/>
            </w:tcBorders>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Knowledge</w:t>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Values</w:t>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Skills</w:t>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Cognitive &amp; Affective Processes</w:t>
            </w:r>
          </w:p>
        </w:tc>
      </w:tr>
      <w:tr>
        <w:trPr>
          <w:trHeight w:val="80" w:hRule="atLeast"/>
        </w:trP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Apply and communicate understanding of the importance of diversity and difference shaping life experiences in practice at the micro, mezzo, and macro levels.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r>
        <w:trPr>
          <w:trHeight w:val="80" w:hRule="atLeast"/>
        </w:trPr>
        <w:tc>
          <w:tcPr/>
          <w:p w:rsidR="00000000" w:rsidDel="00000000" w:rsidP="00000000" w:rsidRDefault="00000000" w:rsidRPr="00000000">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 themselves as learners and engage client and constituencies as experts of their own experiences.</w:t>
            </w:r>
          </w:p>
          <w:p w:rsidR="00000000" w:rsidDel="00000000" w:rsidP="00000000" w:rsidRDefault="00000000" w:rsidRPr="00000000">
            <w:pPr>
              <w:spacing w:before="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r>
        <w:trPr>
          <w:trHeight w:val="80" w:hRule="atLeast"/>
        </w:trPr>
        <w:tc>
          <w:tcPr/>
          <w:p w:rsidR="00000000" w:rsidDel="00000000" w:rsidP="00000000" w:rsidRDefault="00000000" w:rsidRPr="00000000">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Apply self-awareness and self-regulation to manage the influence of personal biases and values in working with diverse client and constituencies.</w:t>
            </w:r>
          </w:p>
          <w:p w:rsidR="00000000" w:rsidDel="00000000" w:rsidP="00000000" w:rsidRDefault="00000000" w:rsidRPr="00000000">
            <w:pPr>
              <w:spacing w:before="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pPr>
        <w:spacing w:after="0" w:line="240" w:lineRule="auto"/>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Competency 3 – Advance human rights and social, economic, and environmental justice.</w:t>
      </w:r>
    </w:p>
    <w:p w:rsidR="00000000" w:rsidDel="00000000" w:rsidP="00000000" w:rsidRDefault="00000000" w:rsidRPr="00000000">
      <w:pPr>
        <w:widowControl w:val="0"/>
        <w:tabs>
          <w:tab w:val="left" w:pos="220"/>
          <w:tab w:val="left" w:pos="720"/>
        </w:tabs>
        <w:spacing w:after="240" w:line="240" w:lineRule="auto"/>
        <w:contextualSpacing w:val="0"/>
        <w:rPr>
          <w:rFonts w:ascii="Times" w:cs="Times" w:eastAsia="Times" w:hAnsi="Times"/>
          <w:i w:val="1"/>
          <w:sz w:val="18"/>
          <w:szCs w:val="18"/>
        </w:rPr>
      </w:pPr>
      <w:r w:rsidDel="00000000" w:rsidR="00000000" w:rsidRPr="00000000">
        <w:rPr>
          <w:rFonts w:ascii="Times" w:cs="Times" w:eastAsia="Times" w:hAnsi="Times"/>
          <w:i w:val="1"/>
          <w:sz w:val="18"/>
          <w:szCs w:val="18"/>
          <w:rtl w:val="0"/>
        </w:rPr>
        <w:t xml:space="preserve">Social workers understand that every person regardless of position in society has fundamental human rights such as freedom, safety, privacy, an adequate standard of living, health care, and education. Social workers understand the global interconnections of oppression and human rights violations, and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equitably and that civil, political, environmental, economic, social, and cultural human rights are protected.  </w:t>
      </w:r>
    </w:p>
    <w:p w:rsidR="00000000" w:rsidDel="00000000" w:rsidP="00000000" w:rsidRDefault="00000000" w:rsidRPr="00000000">
      <w:pPr>
        <w:spacing w:before="0" w:line="240" w:lineRule="auto"/>
        <w:contextualSpacing w:val="0"/>
        <w:rPr>
          <w:rFonts w:ascii="Times New Roman" w:cs="Times New Roman" w:eastAsia="Times New Roman" w:hAnsi="Times New Roman"/>
          <w:i w:val="1"/>
          <w:sz w:val="20"/>
          <w:szCs w:val="20"/>
        </w:rPr>
      </w:pPr>
      <w:r w:rsidDel="00000000" w:rsidR="00000000" w:rsidRPr="00000000">
        <w:rPr>
          <w:rtl w:val="0"/>
        </w:rPr>
      </w:r>
    </w:p>
    <w:tbl>
      <w:tblPr>
        <w:tblStyle w:val="Table3"/>
        <w:tblW w:w="145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58"/>
        <w:gridCol w:w="5850"/>
        <w:gridCol w:w="1260"/>
        <w:gridCol w:w="990"/>
        <w:gridCol w:w="900"/>
        <w:gridCol w:w="1440"/>
        <w:tblGridChange w:id="0">
          <w:tblGrid>
            <w:gridCol w:w="4158"/>
            <w:gridCol w:w="5850"/>
            <w:gridCol w:w="1260"/>
            <w:gridCol w:w="990"/>
            <w:gridCol w:w="900"/>
            <w:gridCol w:w="1440"/>
          </w:tblGrid>
        </w:tblGridChange>
      </w:tblGrid>
      <w:tr>
        <w:trPr>
          <w:trHeight w:val="520" w:hRule="atLeast"/>
        </w:trPr>
        <w:tc>
          <w:tcPr>
            <w:vMerge w:val="restart"/>
            <w:tcBorders>
              <w:bottom w:color="000000" w:space="0" w:sz="4" w:val="single"/>
            </w:tcBorders>
          </w:tcPr>
          <w:p w:rsidR="00000000" w:rsidDel="00000000" w:rsidP="00000000" w:rsidRDefault="00000000" w:rsidRPr="00000000">
            <w:pPr>
              <w:spacing w:after="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after="0" w:before="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before="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Descriptors:</w:t>
            </w:r>
          </w:p>
        </w:tc>
        <w:tc>
          <w:tcPr>
            <w:vMerge w:val="restart"/>
          </w:tcPr>
          <w:p w:rsidR="00000000" w:rsidDel="00000000" w:rsidP="00000000" w:rsidRDefault="00000000" w:rsidRPr="00000000">
            <w:pPr>
              <w:spacing w:after="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after="0" w:before="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before="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Learning Contract Activities:</w:t>
            </w:r>
          </w:p>
        </w:tc>
        <w:tc>
          <w:tcPr>
            <w:gridSpan w:val="4"/>
            <w:tcBorders>
              <w:bottom w:color="000000" w:space="0" w:sz="4" w:val="single"/>
            </w:tcBorders>
          </w:tcPr>
          <w:p w:rsidR="00000000" w:rsidDel="00000000" w:rsidP="00000000" w:rsidRDefault="00000000" w:rsidRPr="00000000">
            <w:pPr>
              <w:spacing w:after="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Dimension of Competency Assessed via </w:t>
            </w:r>
          </w:p>
          <w:p w:rsidR="00000000" w:rsidDel="00000000" w:rsidP="00000000" w:rsidRDefault="00000000" w:rsidRPr="00000000">
            <w:pPr>
              <w:spacing w:before="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Articulated Learning Contract Activity</w:t>
            </w:r>
          </w:p>
        </w:tc>
      </w:tr>
      <w:tr>
        <w:trPr>
          <w:trHeight w:val="80" w:hRule="atLeast"/>
        </w:trPr>
        <w:tc>
          <w:tcPr>
            <w:vMerge w:val="continue"/>
            <w:tcBorders>
              <w:bottom w:color="000000" w:space="0" w:sz="4" w:val="single"/>
            </w:tcBorders>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Knowledge</w:t>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Values</w:t>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Skills</w:t>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Cognitive &amp; Affective Processes</w:t>
            </w:r>
          </w:p>
        </w:tc>
      </w:tr>
      <w:tr>
        <w:trPr>
          <w:trHeight w:val="80" w:hRule="atLeast"/>
        </w:trP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Apply their understanding of social, economic, and environmental justice to advocate for human rights at the individual and systems levels.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r>
        <w:trPr>
          <w:trHeight w:val="80" w:hRule="atLeast"/>
        </w:trPr>
        <w:tc>
          <w:tcPr/>
          <w:p w:rsidR="00000000" w:rsidDel="00000000" w:rsidP="00000000" w:rsidRDefault="00000000" w:rsidRPr="00000000">
            <w:pPr>
              <w:spacing w:after="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spacing w:after="0" w:before="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Engage in practices that advance social, economic, and environmental justice. </w:t>
            </w:r>
          </w:p>
          <w:p w:rsidR="00000000" w:rsidDel="00000000" w:rsidP="00000000" w:rsidRDefault="00000000" w:rsidRPr="00000000">
            <w:pPr>
              <w:spacing w:after="0" w:before="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spacing w:before="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pPr>
        <w:spacing w:after="0" w:line="240" w:lineRule="auto"/>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Competency 4 – Engage in practice-informed research and research-informed practice.</w:t>
      </w:r>
    </w:p>
    <w:p w:rsidR="00000000" w:rsidDel="00000000" w:rsidP="00000000" w:rsidRDefault="00000000" w:rsidRPr="00000000">
      <w:pPr>
        <w:widowControl w:val="0"/>
        <w:tabs>
          <w:tab w:val="left" w:pos="220"/>
          <w:tab w:val="left" w:pos="720"/>
        </w:tabs>
        <w:spacing w:after="240" w:line="240" w:lineRule="auto"/>
        <w:contextualSpacing w:val="0"/>
        <w:rPr>
          <w:rFonts w:ascii="Times" w:cs="Times" w:eastAsia="Times" w:hAnsi="Times"/>
          <w:sz w:val="24"/>
          <w:szCs w:val="24"/>
        </w:rPr>
      </w:pPr>
      <w:r w:rsidDel="00000000" w:rsidR="00000000" w:rsidRPr="00000000">
        <w:rPr>
          <w:rFonts w:ascii="Times" w:cs="Times" w:eastAsia="Times" w:hAnsi="Times"/>
          <w:i w:val="1"/>
          <w:sz w:val="18"/>
          <w:szCs w:val="18"/>
          <w:rtl w:val="0"/>
        </w:rPr>
        <w:t xml:space="preserve">Social workers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w:t>
      </w:r>
      <w:r w:rsidDel="00000000" w:rsidR="00000000" w:rsidRPr="00000000">
        <w:rPr>
          <w:rFonts w:ascii="Times" w:cs="Times" w:eastAsia="Times" w:hAnsi="Times"/>
          <w:sz w:val="24"/>
          <w:szCs w:val="24"/>
          <w:rtl w:val="0"/>
        </w:rPr>
        <w:t xml:space="preserve"> </w:t>
      </w:r>
    </w:p>
    <w:p w:rsidR="00000000" w:rsidDel="00000000" w:rsidP="00000000" w:rsidRDefault="00000000" w:rsidRPr="00000000">
      <w:pPr>
        <w:widowControl w:val="0"/>
        <w:tabs>
          <w:tab w:val="left" w:pos="220"/>
          <w:tab w:val="left" w:pos="720"/>
        </w:tabs>
        <w:spacing w:after="240" w:line="240" w:lineRule="auto"/>
        <w:contextualSpacing w:val="0"/>
        <w:rPr>
          <w:rFonts w:ascii="Times" w:cs="Times" w:eastAsia="Times" w:hAnsi="Times"/>
          <w:sz w:val="24"/>
          <w:szCs w:val="24"/>
        </w:rPr>
      </w:pPr>
      <w:r w:rsidDel="00000000" w:rsidR="00000000" w:rsidRPr="00000000">
        <w:rPr>
          <w:rtl w:val="0"/>
        </w:rPr>
      </w:r>
    </w:p>
    <w:p w:rsidR="00000000" w:rsidDel="00000000" w:rsidP="00000000" w:rsidRDefault="00000000" w:rsidRPr="00000000">
      <w:pPr>
        <w:spacing w:before="0" w:line="240" w:lineRule="auto"/>
        <w:contextualSpacing w:val="0"/>
        <w:rPr>
          <w:rFonts w:ascii="Times New Roman" w:cs="Times New Roman" w:eastAsia="Times New Roman" w:hAnsi="Times New Roman"/>
          <w:sz w:val="20"/>
          <w:szCs w:val="20"/>
        </w:rPr>
      </w:pPr>
      <w:r w:rsidDel="00000000" w:rsidR="00000000" w:rsidRPr="00000000">
        <w:rPr>
          <w:rtl w:val="0"/>
        </w:rPr>
      </w:r>
    </w:p>
    <w:tbl>
      <w:tblPr>
        <w:tblStyle w:val="Table4"/>
        <w:tblW w:w="145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58"/>
        <w:gridCol w:w="5850"/>
        <w:gridCol w:w="1260"/>
        <w:gridCol w:w="990"/>
        <w:gridCol w:w="900"/>
        <w:gridCol w:w="1440"/>
        <w:tblGridChange w:id="0">
          <w:tblGrid>
            <w:gridCol w:w="4158"/>
            <w:gridCol w:w="5850"/>
            <w:gridCol w:w="1260"/>
            <w:gridCol w:w="990"/>
            <w:gridCol w:w="900"/>
            <w:gridCol w:w="1440"/>
          </w:tblGrid>
        </w:tblGridChange>
      </w:tblGrid>
      <w:tr>
        <w:trPr>
          <w:trHeight w:val="520" w:hRule="atLeast"/>
        </w:trPr>
        <w:tc>
          <w:tcPr>
            <w:vMerge w:val="restart"/>
            <w:tcBorders>
              <w:bottom w:color="000000" w:space="0" w:sz="4" w:val="single"/>
            </w:tcBorders>
          </w:tcPr>
          <w:p w:rsidR="00000000" w:rsidDel="00000000" w:rsidP="00000000" w:rsidRDefault="00000000" w:rsidRPr="00000000">
            <w:pPr>
              <w:spacing w:after="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after="0" w:before="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before="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Descriptors:</w:t>
            </w:r>
          </w:p>
        </w:tc>
        <w:tc>
          <w:tcPr>
            <w:vMerge w:val="restart"/>
          </w:tcPr>
          <w:p w:rsidR="00000000" w:rsidDel="00000000" w:rsidP="00000000" w:rsidRDefault="00000000" w:rsidRPr="00000000">
            <w:pPr>
              <w:spacing w:after="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after="0" w:before="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before="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Learning Contract Activities:</w:t>
            </w:r>
          </w:p>
        </w:tc>
        <w:tc>
          <w:tcPr>
            <w:gridSpan w:val="4"/>
            <w:tcBorders>
              <w:bottom w:color="000000" w:space="0" w:sz="4" w:val="single"/>
            </w:tcBorders>
          </w:tcPr>
          <w:p w:rsidR="00000000" w:rsidDel="00000000" w:rsidP="00000000" w:rsidRDefault="00000000" w:rsidRPr="00000000">
            <w:pPr>
              <w:spacing w:after="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Dimension of Competency Assessed via </w:t>
            </w:r>
          </w:p>
          <w:p w:rsidR="00000000" w:rsidDel="00000000" w:rsidP="00000000" w:rsidRDefault="00000000" w:rsidRPr="00000000">
            <w:pPr>
              <w:spacing w:before="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Articulated Learning Contract Activity</w:t>
            </w:r>
          </w:p>
        </w:tc>
      </w:tr>
      <w:tr>
        <w:trPr>
          <w:trHeight w:val="80" w:hRule="atLeast"/>
        </w:trPr>
        <w:tc>
          <w:tcPr>
            <w:vMerge w:val="continue"/>
            <w:tcBorders>
              <w:bottom w:color="000000" w:space="0" w:sz="4" w:val="single"/>
            </w:tcBorders>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Knowledge</w:t>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Values</w:t>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Skills</w:t>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Cognitive &amp; Affective Processes</w:t>
            </w:r>
          </w:p>
        </w:tc>
      </w:tr>
      <w:tr>
        <w:trPr>
          <w:trHeight w:val="80" w:hRule="atLeast"/>
        </w:trP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practice experience and theory to inform scientific research.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r>
        <w:trPr>
          <w:trHeight w:val="80" w:hRule="atLeast"/>
        </w:trPr>
        <w:tc>
          <w:tcPr/>
          <w:p w:rsidR="00000000" w:rsidDel="00000000" w:rsidP="00000000" w:rsidRDefault="00000000" w:rsidRPr="00000000">
            <w:pPr>
              <w:spacing w:after="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spacing w:after="0" w:before="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Apply critical thinking to engage in analysis of quantitative and qualitative research methods and research findings. </w:t>
            </w:r>
          </w:p>
          <w:p w:rsidR="00000000" w:rsidDel="00000000" w:rsidP="00000000" w:rsidRDefault="00000000" w:rsidRPr="00000000">
            <w:pPr>
              <w:spacing w:before="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r>
        <w:trPr>
          <w:trHeight w:val="80" w:hRule="atLeast"/>
        </w:trPr>
        <w:tc>
          <w:tcPr/>
          <w:p w:rsidR="00000000" w:rsidDel="00000000" w:rsidP="00000000" w:rsidRDefault="00000000" w:rsidRPr="00000000">
            <w:pPr>
              <w:spacing w:after="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spacing w:after="0" w:before="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and translate research evidence to inform and improve practice, policy, and service delivery. </w:t>
            </w:r>
          </w:p>
          <w:p w:rsidR="00000000" w:rsidDel="00000000" w:rsidP="00000000" w:rsidRDefault="00000000" w:rsidRPr="00000000">
            <w:pPr>
              <w:spacing w:before="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pPr>
        <w:spacing w:after="0" w:line="240" w:lineRule="auto"/>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Competency 5 – Engage in policy practice.</w:t>
      </w:r>
    </w:p>
    <w:p w:rsidR="00000000" w:rsidDel="00000000" w:rsidP="00000000" w:rsidRDefault="00000000" w:rsidRPr="00000000">
      <w:pPr>
        <w:widowControl w:val="0"/>
        <w:tabs>
          <w:tab w:val="left" w:pos="220"/>
          <w:tab w:val="left" w:pos="720"/>
        </w:tabs>
        <w:spacing w:after="240" w:line="240" w:lineRule="auto"/>
        <w:contextualSpacing w:val="0"/>
        <w:rPr>
          <w:rFonts w:ascii="Times" w:cs="Times" w:eastAsia="Times" w:hAnsi="Times"/>
          <w:i w:val="1"/>
          <w:sz w:val="18"/>
          <w:szCs w:val="18"/>
        </w:rPr>
      </w:pPr>
      <w:r w:rsidDel="00000000" w:rsidR="00000000" w:rsidRPr="00000000">
        <w:rPr>
          <w:rFonts w:ascii="Times" w:cs="Times" w:eastAsia="Times" w:hAnsi="Times"/>
          <w:i w:val="1"/>
          <w:sz w:val="18"/>
          <w:szCs w:val="18"/>
          <w:rtl w:val="0"/>
        </w:rPr>
        <w:t xml:space="preserve">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  </w:t>
      </w:r>
    </w:p>
    <w:p w:rsidR="00000000" w:rsidDel="00000000" w:rsidP="00000000" w:rsidRDefault="00000000" w:rsidRPr="00000000">
      <w:pPr>
        <w:spacing w:before="0" w:line="240" w:lineRule="auto"/>
        <w:contextualSpacing w:val="0"/>
        <w:rPr>
          <w:rFonts w:ascii="Times New Roman" w:cs="Times New Roman" w:eastAsia="Times New Roman" w:hAnsi="Times New Roman"/>
          <w:sz w:val="20"/>
          <w:szCs w:val="20"/>
        </w:rPr>
      </w:pPr>
      <w:r w:rsidDel="00000000" w:rsidR="00000000" w:rsidRPr="00000000">
        <w:rPr>
          <w:rtl w:val="0"/>
        </w:rPr>
      </w:r>
    </w:p>
    <w:tbl>
      <w:tblPr>
        <w:tblStyle w:val="Table5"/>
        <w:tblW w:w="145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58"/>
        <w:gridCol w:w="5850"/>
        <w:gridCol w:w="1260"/>
        <w:gridCol w:w="990"/>
        <w:gridCol w:w="900"/>
        <w:gridCol w:w="1440"/>
        <w:tblGridChange w:id="0">
          <w:tblGrid>
            <w:gridCol w:w="4158"/>
            <w:gridCol w:w="5850"/>
            <w:gridCol w:w="1260"/>
            <w:gridCol w:w="990"/>
            <w:gridCol w:w="900"/>
            <w:gridCol w:w="1440"/>
          </w:tblGrid>
        </w:tblGridChange>
      </w:tblGrid>
      <w:tr>
        <w:trPr>
          <w:trHeight w:val="520" w:hRule="atLeast"/>
        </w:trPr>
        <w:tc>
          <w:tcPr>
            <w:vMerge w:val="restart"/>
            <w:tcBorders>
              <w:bottom w:color="000000" w:space="0" w:sz="4" w:val="single"/>
            </w:tcBorders>
          </w:tcPr>
          <w:p w:rsidR="00000000" w:rsidDel="00000000" w:rsidP="00000000" w:rsidRDefault="00000000" w:rsidRPr="00000000">
            <w:pPr>
              <w:spacing w:after="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after="0" w:before="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before="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Descriptors:</w:t>
            </w:r>
          </w:p>
        </w:tc>
        <w:tc>
          <w:tcPr>
            <w:vMerge w:val="restart"/>
          </w:tcPr>
          <w:p w:rsidR="00000000" w:rsidDel="00000000" w:rsidP="00000000" w:rsidRDefault="00000000" w:rsidRPr="00000000">
            <w:pPr>
              <w:spacing w:after="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after="0" w:before="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before="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Learning Contract Activities:</w:t>
            </w:r>
          </w:p>
        </w:tc>
        <w:tc>
          <w:tcPr>
            <w:gridSpan w:val="4"/>
            <w:tcBorders>
              <w:bottom w:color="000000" w:space="0" w:sz="4" w:val="single"/>
            </w:tcBorders>
          </w:tcPr>
          <w:p w:rsidR="00000000" w:rsidDel="00000000" w:rsidP="00000000" w:rsidRDefault="00000000" w:rsidRPr="00000000">
            <w:pPr>
              <w:spacing w:after="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Dimension of Competency Assessed via </w:t>
            </w:r>
          </w:p>
          <w:p w:rsidR="00000000" w:rsidDel="00000000" w:rsidP="00000000" w:rsidRDefault="00000000" w:rsidRPr="00000000">
            <w:pPr>
              <w:spacing w:before="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Articulated Learning Contract Activity</w:t>
            </w:r>
          </w:p>
        </w:tc>
      </w:tr>
      <w:tr>
        <w:trPr>
          <w:trHeight w:val="80" w:hRule="atLeast"/>
        </w:trPr>
        <w:tc>
          <w:tcPr>
            <w:vMerge w:val="continue"/>
            <w:tcBorders>
              <w:bottom w:color="000000" w:space="0" w:sz="4" w:val="single"/>
            </w:tcBorders>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Knowledge</w:t>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Values</w:t>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Skills</w:t>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Cognitive &amp; Affective Processes</w:t>
            </w:r>
          </w:p>
        </w:tc>
      </w:tr>
      <w:tr>
        <w:trPr>
          <w:trHeight w:val="80" w:hRule="atLeast"/>
        </w:trP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Identify social policy and the local, state, and federal level that impacts well-being, service delivery, and access to social services.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r>
        <w:trPr>
          <w:trHeight w:val="80" w:hRule="atLeast"/>
        </w:trPr>
        <w:tc>
          <w:tcPr/>
          <w:p w:rsidR="00000000" w:rsidDel="00000000" w:rsidP="00000000" w:rsidRDefault="00000000" w:rsidRPr="00000000">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Assess how social welfare and economic policies impact the delivery of and access to social services. </w:t>
            </w:r>
          </w:p>
          <w:p w:rsidR="00000000" w:rsidDel="00000000" w:rsidP="00000000" w:rsidRDefault="00000000" w:rsidRPr="00000000">
            <w:pPr>
              <w:spacing w:before="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r>
        <w:trPr>
          <w:trHeight w:val="80" w:hRule="atLeast"/>
        </w:trPr>
        <w:tc>
          <w:tcPr/>
          <w:p w:rsidR="00000000" w:rsidDel="00000000" w:rsidP="00000000" w:rsidRDefault="00000000" w:rsidRPr="00000000">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Apply critical thinking to analyze, formulate, and advocate for policies that advance human rights and social, economic, and environmental justice. </w:t>
            </w:r>
          </w:p>
          <w:p w:rsidR="00000000" w:rsidDel="00000000" w:rsidP="00000000" w:rsidRDefault="00000000" w:rsidRPr="00000000">
            <w:pPr>
              <w:spacing w:before="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pPr>
        <w:spacing w:after="0" w:line="240" w:lineRule="auto"/>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Competency 6 – Engage with individuals, families, groups, organizations, and communities.</w:t>
      </w:r>
    </w:p>
    <w:p w:rsidR="00000000" w:rsidDel="00000000" w:rsidP="00000000" w:rsidRDefault="00000000" w:rsidRPr="00000000">
      <w:pPr>
        <w:widowControl w:val="0"/>
        <w:tabs>
          <w:tab w:val="left" w:pos="220"/>
          <w:tab w:val="left" w:pos="720"/>
        </w:tabs>
        <w:spacing w:after="240" w:line="240" w:lineRule="auto"/>
        <w:contextualSpacing w:val="0"/>
        <w:rPr>
          <w:rFonts w:ascii="Times" w:cs="Times" w:eastAsia="Times" w:hAnsi="Times"/>
          <w:i w:val="1"/>
          <w:sz w:val="18"/>
          <w:szCs w:val="18"/>
        </w:rPr>
      </w:pPr>
      <w:r w:rsidDel="00000000" w:rsidR="00000000" w:rsidRPr="00000000">
        <w:rPr>
          <w:rFonts w:ascii="Times" w:cs="Times" w:eastAsia="Times" w:hAnsi="Times"/>
          <w:i w:val="1"/>
          <w:sz w:val="18"/>
          <w:szCs w:val="18"/>
          <w:rtl w:val="0"/>
        </w:rPr>
        <w:t xml:space="preserve">Social workers understand that engagement is an ongoing component of the dynamic and interactive process of social work practice with, and on behalf of, diverse individuals, families, groups, organizations, and communities. Social workers value the importance of human 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effectiveness.  Social workers understand how their personal experiences and affective reactions may impact their ability to effectively engage with diverse clients and constituencies. Social workers value principles of relationship-building and inter-professional collaboration to facilitate engagement with clients, constituencies, and other professionals as appropriate. </w:t>
      </w:r>
    </w:p>
    <w:tbl>
      <w:tblPr>
        <w:tblStyle w:val="Table6"/>
        <w:tblW w:w="145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58"/>
        <w:gridCol w:w="5850"/>
        <w:gridCol w:w="1260"/>
        <w:gridCol w:w="990"/>
        <w:gridCol w:w="900"/>
        <w:gridCol w:w="1440"/>
        <w:tblGridChange w:id="0">
          <w:tblGrid>
            <w:gridCol w:w="4158"/>
            <w:gridCol w:w="5850"/>
            <w:gridCol w:w="1260"/>
            <w:gridCol w:w="990"/>
            <w:gridCol w:w="900"/>
            <w:gridCol w:w="1440"/>
          </w:tblGrid>
        </w:tblGridChange>
      </w:tblGrid>
      <w:tr>
        <w:trPr>
          <w:trHeight w:val="520" w:hRule="atLeast"/>
        </w:trPr>
        <w:tc>
          <w:tcPr>
            <w:vMerge w:val="restart"/>
            <w:tcBorders>
              <w:bottom w:color="000000" w:space="0" w:sz="4" w:val="single"/>
            </w:tcBorders>
          </w:tcPr>
          <w:p w:rsidR="00000000" w:rsidDel="00000000" w:rsidP="00000000" w:rsidRDefault="00000000" w:rsidRPr="00000000">
            <w:pPr>
              <w:spacing w:after="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after="0" w:before="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before="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Descriptors:</w:t>
            </w:r>
          </w:p>
        </w:tc>
        <w:tc>
          <w:tcPr>
            <w:vMerge w:val="restart"/>
          </w:tcPr>
          <w:p w:rsidR="00000000" w:rsidDel="00000000" w:rsidP="00000000" w:rsidRDefault="00000000" w:rsidRPr="00000000">
            <w:pPr>
              <w:spacing w:after="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after="0" w:before="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before="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Learning Contract Activities:</w:t>
            </w:r>
          </w:p>
        </w:tc>
        <w:tc>
          <w:tcPr>
            <w:gridSpan w:val="4"/>
            <w:tcBorders>
              <w:bottom w:color="000000" w:space="0" w:sz="4" w:val="single"/>
            </w:tcBorders>
          </w:tcPr>
          <w:p w:rsidR="00000000" w:rsidDel="00000000" w:rsidP="00000000" w:rsidRDefault="00000000" w:rsidRPr="00000000">
            <w:pPr>
              <w:spacing w:after="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Dimension of Competency Assessed via </w:t>
            </w:r>
          </w:p>
          <w:p w:rsidR="00000000" w:rsidDel="00000000" w:rsidP="00000000" w:rsidRDefault="00000000" w:rsidRPr="00000000">
            <w:pPr>
              <w:spacing w:before="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Articulated Learning Contract Activity</w:t>
            </w:r>
          </w:p>
        </w:tc>
      </w:tr>
      <w:tr>
        <w:trPr>
          <w:trHeight w:val="80" w:hRule="atLeast"/>
        </w:trPr>
        <w:tc>
          <w:tcPr>
            <w:vMerge w:val="continue"/>
            <w:tcBorders>
              <w:bottom w:color="000000" w:space="0" w:sz="4" w:val="single"/>
            </w:tcBorders>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Knowledge</w:t>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Values</w:t>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Skills</w:t>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Cognitive &amp; Affective Processes</w:t>
            </w:r>
          </w:p>
        </w:tc>
      </w:tr>
      <w:tr>
        <w:trPr>
          <w:trHeight w:val="80" w:hRule="atLeast"/>
        </w:trP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Apply knowledge of human behavior and the social environment, person-in-environment, and other multi-disciplinary theoretical frameworks to engage with clients and constituencies.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r>
        <w:trPr>
          <w:trHeight w:val="80" w:hRule="atLeast"/>
        </w:trPr>
        <w:tc>
          <w:tcPr/>
          <w:p w:rsidR="00000000" w:rsidDel="00000000" w:rsidP="00000000" w:rsidRDefault="00000000" w:rsidRPr="00000000">
            <w:pPr>
              <w:spacing w:after="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spacing w:after="0" w:before="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empathy, reflection, and interpersonal skills to engage diverse clients and constituencies. </w:t>
            </w:r>
          </w:p>
          <w:p w:rsidR="00000000" w:rsidDel="00000000" w:rsidP="00000000" w:rsidRDefault="00000000" w:rsidRPr="00000000">
            <w:pPr>
              <w:spacing w:before="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ab/>
        <w:tab/>
        <w:tab/>
        <w:tab/>
        <w:tab/>
        <w:tab/>
      </w:r>
    </w:p>
    <w:p w:rsidR="00000000" w:rsidDel="00000000" w:rsidP="00000000" w:rsidRDefault="00000000" w:rsidRPr="00000000">
      <w:pPr>
        <w:spacing w:after="0" w:before="0" w:line="240" w:lineRule="auto"/>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Competency 7 – Assess individuals, families, groups, organizations, and communities.</w:t>
      </w:r>
    </w:p>
    <w:p w:rsidR="00000000" w:rsidDel="00000000" w:rsidP="00000000" w:rsidRDefault="00000000" w:rsidRPr="00000000">
      <w:pPr>
        <w:widowControl w:val="0"/>
        <w:tabs>
          <w:tab w:val="left" w:pos="220"/>
          <w:tab w:val="left" w:pos="720"/>
        </w:tabs>
        <w:spacing w:after="240" w:line="240" w:lineRule="auto"/>
        <w:contextualSpacing w:val="0"/>
        <w:rPr>
          <w:rFonts w:ascii="Times" w:cs="Times" w:eastAsia="Times" w:hAnsi="Times"/>
          <w:i w:val="1"/>
          <w:sz w:val="18"/>
          <w:szCs w:val="18"/>
        </w:rPr>
      </w:pPr>
      <w:r w:rsidDel="00000000" w:rsidR="00000000" w:rsidRPr="00000000">
        <w:rPr>
          <w:rFonts w:ascii="Times" w:cs="Times" w:eastAsia="Times" w:hAnsi="Times"/>
          <w:i w:val="1"/>
          <w:sz w:val="18"/>
          <w:szCs w:val="18"/>
          <w:rtl w:val="0"/>
        </w:rPr>
        <w:t xml:space="preserve">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communities. Social workers understand methods of assessment with diverse clients and constituencies to advance practice effectiveness. Social workers recognize the implications of the larger practice context in  the assessment process and value the importance of inter-professional collaboration in this process. Social workers understand how their personal experiences and affective reactions may affect their assessment and decision-making.  </w:t>
      </w:r>
    </w:p>
    <w:p w:rsidR="00000000" w:rsidDel="00000000" w:rsidP="00000000" w:rsidRDefault="00000000" w:rsidRPr="00000000">
      <w:pPr>
        <w:spacing w:before="0" w:line="240" w:lineRule="auto"/>
        <w:contextualSpacing w:val="0"/>
        <w:rPr>
          <w:rFonts w:ascii="Times New Roman" w:cs="Times New Roman" w:eastAsia="Times New Roman" w:hAnsi="Times New Roman"/>
          <w:sz w:val="20"/>
          <w:szCs w:val="20"/>
        </w:rPr>
      </w:pPr>
      <w:r w:rsidDel="00000000" w:rsidR="00000000" w:rsidRPr="00000000">
        <w:rPr>
          <w:rtl w:val="0"/>
        </w:rPr>
      </w:r>
    </w:p>
    <w:tbl>
      <w:tblPr>
        <w:tblStyle w:val="Table7"/>
        <w:tblW w:w="145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58"/>
        <w:gridCol w:w="5850"/>
        <w:gridCol w:w="1260"/>
        <w:gridCol w:w="990"/>
        <w:gridCol w:w="900"/>
        <w:gridCol w:w="1440"/>
        <w:tblGridChange w:id="0">
          <w:tblGrid>
            <w:gridCol w:w="4158"/>
            <w:gridCol w:w="5850"/>
            <w:gridCol w:w="1260"/>
            <w:gridCol w:w="990"/>
            <w:gridCol w:w="900"/>
            <w:gridCol w:w="1440"/>
          </w:tblGrid>
        </w:tblGridChange>
      </w:tblGrid>
      <w:tr>
        <w:trPr>
          <w:trHeight w:val="520" w:hRule="atLeast"/>
        </w:trPr>
        <w:tc>
          <w:tcPr>
            <w:vMerge w:val="restart"/>
            <w:tcBorders>
              <w:bottom w:color="000000" w:space="0" w:sz="4" w:val="single"/>
            </w:tcBorders>
          </w:tcPr>
          <w:p w:rsidR="00000000" w:rsidDel="00000000" w:rsidP="00000000" w:rsidRDefault="00000000" w:rsidRPr="00000000">
            <w:pPr>
              <w:spacing w:after="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after="0" w:before="0" w:lineRule="auto"/>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before="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Descriptors:</w:t>
            </w:r>
          </w:p>
        </w:tc>
        <w:tc>
          <w:tcPr>
            <w:vMerge w:val="restart"/>
          </w:tcPr>
          <w:p w:rsidR="00000000" w:rsidDel="00000000" w:rsidP="00000000" w:rsidRDefault="00000000" w:rsidRPr="00000000">
            <w:pPr>
              <w:spacing w:after="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after="0" w:before="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before="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Learning Contract Activities:</w:t>
            </w:r>
          </w:p>
        </w:tc>
        <w:tc>
          <w:tcPr>
            <w:gridSpan w:val="4"/>
            <w:tcBorders>
              <w:bottom w:color="000000" w:space="0" w:sz="4" w:val="single"/>
            </w:tcBorders>
          </w:tcPr>
          <w:p w:rsidR="00000000" w:rsidDel="00000000" w:rsidP="00000000" w:rsidRDefault="00000000" w:rsidRPr="00000000">
            <w:pPr>
              <w:spacing w:after="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Dimension of Competency Assessed via </w:t>
            </w:r>
          </w:p>
          <w:p w:rsidR="00000000" w:rsidDel="00000000" w:rsidP="00000000" w:rsidRDefault="00000000" w:rsidRPr="00000000">
            <w:pPr>
              <w:spacing w:before="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Articulated Learning Contract Activity</w:t>
            </w:r>
          </w:p>
        </w:tc>
      </w:tr>
      <w:tr>
        <w:trPr>
          <w:trHeight w:val="80" w:hRule="atLeast"/>
        </w:trPr>
        <w:tc>
          <w:tcPr>
            <w:vMerge w:val="continue"/>
            <w:tcBorders>
              <w:bottom w:color="000000" w:space="0" w:sz="4" w:val="single"/>
            </w:tcBorders>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Knowledge</w:t>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Values</w:t>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Skills</w:t>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Cognitive &amp; Affective Processes</w:t>
            </w:r>
          </w:p>
        </w:tc>
      </w:tr>
      <w:tr>
        <w:trPr>
          <w:trHeight w:val="80" w:hRule="atLeast"/>
        </w:trP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Collect and organize data, and apply critical thinking to interpret information from clients and constituencies.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r>
        <w:trPr>
          <w:trHeight w:val="80" w:hRule="atLeast"/>
        </w:trPr>
        <w:tc>
          <w:tcPr/>
          <w:p w:rsidR="00000000" w:rsidDel="00000000" w:rsidP="00000000" w:rsidRDefault="00000000" w:rsidRPr="00000000">
            <w:pPr>
              <w:spacing w:after="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spacing w:after="0" w:before="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Apply knowledge of human behavior and the social environment, person-in-environment, and other multi-disciplinary theoretical frameworks in the analysis of assessment data from clients and constituencies.  </w:t>
            </w:r>
          </w:p>
          <w:p w:rsidR="00000000" w:rsidDel="00000000" w:rsidP="00000000" w:rsidRDefault="00000000" w:rsidRPr="00000000">
            <w:pPr>
              <w:spacing w:before="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r>
        <w:trPr>
          <w:trHeight w:val="80" w:hRule="atLeast"/>
        </w:trPr>
        <w:tc>
          <w:tcPr/>
          <w:p w:rsidR="00000000" w:rsidDel="00000000" w:rsidP="00000000" w:rsidRDefault="00000000" w:rsidRPr="00000000">
            <w:pPr>
              <w:spacing w:after="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spacing w:after="0" w:before="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 mutually agreed-on intervention goals and objectives based on the critical assessment of strengths, needs, and challenges with clients and constituencies. </w:t>
            </w:r>
          </w:p>
          <w:p w:rsidR="00000000" w:rsidDel="00000000" w:rsidP="00000000" w:rsidRDefault="00000000" w:rsidRPr="00000000">
            <w:pPr>
              <w:spacing w:before="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r>
        <w:trPr>
          <w:trHeight w:val="80" w:hRule="atLeast"/>
        </w:trPr>
        <w:tc>
          <w:tcPr/>
          <w:p w:rsidR="00000000" w:rsidDel="00000000" w:rsidP="00000000" w:rsidRDefault="00000000" w:rsidRPr="00000000">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Select appropriate intervention strategies based on the assessment, research knowledge, and values and preferences of clients and constituencies. </w:t>
            </w:r>
          </w:p>
          <w:p w:rsidR="00000000" w:rsidDel="00000000" w:rsidP="00000000" w:rsidRDefault="00000000" w:rsidRPr="00000000">
            <w:pPr>
              <w:spacing w:before="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pPr>
        <w:spacing w:after="0" w:line="240" w:lineRule="auto"/>
        <w:contextualSpacing w:val="0"/>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Competency 8 – Intervene with individuals, families, groups, organizations, and communities. </w:t>
      </w:r>
    </w:p>
    <w:p w:rsidR="00000000" w:rsidDel="00000000" w:rsidP="00000000" w:rsidRDefault="00000000" w:rsidRPr="00000000">
      <w:pPr>
        <w:widowControl w:val="0"/>
        <w:tabs>
          <w:tab w:val="left" w:pos="220"/>
          <w:tab w:val="left" w:pos="720"/>
        </w:tabs>
        <w:spacing w:after="240" w:line="240" w:lineRule="auto"/>
        <w:contextualSpacing w:val="0"/>
        <w:rPr>
          <w:rFonts w:ascii="Times" w:cs="Times" w:eastAsia="Times" w:hAnsi="Times"/>
          <w:sz w:val="24"/>
          <w:szCs w:val="24"/>
        </w:rPr>
      </w:pPr>
      <w:r w:rsidDel="00000000" w:rsidR="00000000" w:rsidRPr="00000000">
        <w:rPr>
          <w:rFonts w:ascii="Times" w:cs="Times" w:eastAsia="Times" w:hAnsi="Times"/>
          <w:i w:val="1"/>
          <w:sz w:val="18"/>
          <w:szCs w:val="18"/>
          <w:rtl w:val="0"/>
        </w:rPr>
        <w:t xml:space="preserve">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analyzing and implementing evidence-informed interventions to achieve client and constituency goals. Social workers value the importance of inter- professional teamwork and communication in interventions, recognizing that beneficial outcomes may require interdisciplinary, inter- professional, and inter-organizational collaboration.</w:t>
      </w:r>
      <w:r w:rsidDel="00000000" w:rsidR="00000000" w:rsidRPr="00000000">
        <w:rPr>
          <w:rFonts w:ascii="Times" w:cs="Times" w:eastAsia="Times" w:hAnsi="Times"/>
          <w:sz w:val="24"/>
          <w:szCs w:val="24"/>
          <w:rtl w:val="0"/>
        </w:rPr>
        <w:t xml:space="preserve"> </w:t>
      </w:r>
    </w:p>
    <w:p w:rsidR="00000000" w:rsidDel="00000000" w:rsidP="00000000" w:rsidRDefault="00000000" w:rsidRPr="00000000">
      <w:pPr>
        <w:widowControl w:val="0"/>
        <w:tabs>
          <w:tab w:val="left" w:pos="220"/>
          <w:tab w:val="left" w:pos="720"/>
        </w:tabs>
        <w:spacing w:after="240" w:line="240" w:lineRule="auto"/>
        <w:contextualSpacing w:val="0"/>
        <w:rPr>
          <w:rFonts w:ascii="Times" w:cs="Times" w:eastAsia="Times" w:hAnsi="Times"/>
          <w:sz w:val="24"/>
          <w:szCs w:val="24"/>
        </w:rPr>
      </w:pPr>
      <w:r w:rsidDel="00000000" w:rsidR="00000000" w:rsidRPr="00000000">
        <w:rPr>
          <w:rtl w:val="0"/>
        </w:rPr>
      </w:r>
    </w:p>
    <w:tbl>
      <w:tblPr>
        <w:tblStyle w:val="Table8"/>
        <w:tblW w:w="145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58"/>
        <w:gridCol w:w="5850"/>
        <w:gridCol w:w="1260"/>
        <w:gridCol w:w="990"/>
        <w:gridCol w:w="900"/>
        <w:gridCol w:w="1440"/>
        <w:tblGridChange w:id="0">
          <w:tblGrid>
            <w:gridCol w:w="4158"/>
            <w:gridCol w:w="5850"/>
            <w:gridCol w:w="1260"/>
            <w:gridCol w:w="990"/>
            <w:gridCol w:w="900"/>
            <w:gridCol w:w="1440"/>
          </w:tblGrid>
        </w:tblGridChange>
      </w:tblGrid>
      <w:tr>
        <w:trPr>
          <w:trHeight w:val="520" w:hRule="atLeast"/>
        </w:trPr>
        <w:tc>
          <w:tcPr>
            <w:vMerge w:val="restart"/>
            <w:tcBorders>
              <w:bottom w:color="000000" w:space="0" w:sz="4" w:val="single"/>
            </w:tcBorders>
          </w:tcPr>
          <w:p w:rsidR="00000000" w:rsidDel="00000000" w:rsidP="00000000" w:rsidRDefault="00000000" w:rsidRPr="00000000">
            <w:pPr>
              <w:spacing w:after="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after="0" w:before="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before="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Descriptors:</w:t>
            </w:r>
          </w:p>
        </w:tc>
        <w:tc>
          <w:tcPr>
            <w:vMerge w:val="restart"/>
          </w:tcPr>
          <w:p w:rsidR="00000000" w:rsidDel="00000000" w:rsidP="00000000" w:rsidRDefault="00000000" w:rsidRPr="00000000">
            <w:pPr>
              <w:spacing w:after="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after="0" w:before="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before="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Learning Contract Activities:</w:t>
            </w:r>
          </w:p>
        </w:tc>
        <w:tc>
          <w:tcPr>
            <w:gridSpan w:val="4"/>
            <w:tcBorders>
              <w:bottom w:color="000000" w:space="0" w:sz="4" w:val="single"/>
            </w:tcBorders>
          </w:tcPr>
          <w:p w:rsidR="00000000" w:rsidDel="00000000" w:rsidP="00000000" w:rsidRDefault="00000000" w:rsidRPr="00000000">
            <w:pPr>
              <w:spacing w:after="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Dimension of Competency Assessed via </w:t>
            </w:r>
          </w:p>
          <w:p w:rsidR="00000000" w:rsidDel="00000000" w:rsidP="00000000" w:rsidRDefault="00000000" w:rsidRPr="00000000">
            <w:pPr>
              <w:spacing w:before="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Articulated Learning Contract Activity</w:t>
            </w:r>
          </w:p>
        </w:tc>
      </w:tr>
      <w:tr>
        <w:trPr>
          <w:trHeight w:val="80" w:hRule="atLeast"/>
        </w:trPr>
        <w:tc>
          <w:tcPr>
            <w:vMerge w:val="continue"/>
            <w:tcBorders>
              <w:bottom w:color="000000" w:space="0" w:sz="4" w:val="single"/>
            </w:tcBorders>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Knowledge</w:t>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Values</w:t>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Skills</w:t>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Cognitive &amp; Affective Processes</w:t>
            </w:r>
          </w:p>
        </w:tc>
      </w:tr>
      <w:tr>
        <w:trPr>
          <w:trHeight w:val="80" w:hRule="atLeast"/>
        </w:trP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Critically choose and implement interventions to achieve practice goals and enhance capacities of clients and constituencies.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r>
        <w:trPr>
          <w:trHeight w:val="80" w:hRule="atLeast"/>
        </w:trPr>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Apply knowledge of human behavior and the social environment, person-in-environment, and other multi-disciplinary frameworks in interventions with clients and constituencies. </w:t>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r>
        <w:trPr>
          <w:trHeight w:val="80" w:hRule="atLeast"/>
        </w:trPr>
        <w:tc>
          <w:tcPr/>
          <w:p w:rsidR="00000000" w:rsidDel="00000000" w:rsidP="00000000" w:rsidRDefault="00000000" w:rsidRPr="00000000">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inter-professional collaboration as appropriate to achieve beneficial practice outcomes. </w:t>
            </w:r>
          </w:p>
          <w:p w:rsidR="00000000" w:rsidDel="00000000" w:rsidP="00000000" w:rsidRDefault="00000000" w:rsidRPr="00000000">
            <w:pPr>
              <w:spacing w:before="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r>
        <w:trPr>
          <w:trHeight w:val="80" w:hRule="atLeast"/>
        </w:trPr>
        <w:tc>
          <w:tcPr/>
          <w:p w:rsidR="00000000" w:rsidDel="00000000" w:rsidP="00000000" w:rsidRDefault="00000000" w:rsidRPr="00000000">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Negotiate, mediate, and advocate with and on behalf of diverse clients and constituencies. </w:t>
            </w:r>
          </w:p>
          <w:p w:rsidR="00000000" w:rsidDel="00000000" w:rsidP="00000000" w:rsidRDefault="00000000" w:rsidRPr="00000000">
            <w:pPr>
              <w:spacing w:before="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r>
        <w:trPr>
          <w:trHeight w:val="80" w:hRule="atLeast"/>
        </w:trPr>
        <w:tc>
          <w:tcPr/>
          <w:p w:rsidR="00000000" w:rsidDel="00000000" w:rsidP="00000000" w:rsidRDefault="00000000" w:rsidRPr="00000000">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Facilitate effective transitions and endings that advance mutually agreed-on goals. </w:t>
            </w:r>
          </w:p>
          <w:p w:rsidR="00000000" w:rsidDel="00000000" w:rsidP="00000000" w:rsidRDefault="00000000" w:rsidRPr="00000000">
            <w:pPr>
              <w:spacing w:before="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pPr>
        <w:spacing w:after="0" w:line="240" w:lineRule="auto"/>
        <w:contextualSpacing w:val="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ab/>
        <w:tab/>
        <w:tab/>
        <w:tab/>
        <w:tab/>
        <w:tab/>
        <w:tab/>
        <w:tab/>
        <w:tab/>
      </w:r>
    </w:p>
    <w:p w:rsidR="00000000" w:rsidDel="00000000" w:rsidP="00000000" w:rsidRDefault="00000000" w:rsidRPr="00000000">
      <w:pPr>
        <w:spacing w:after="0" w:before="0" w:line="24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Competency 9 – Evaluate practice with individuals, families, groups, organizations, and communities. </w:t>
      </w:r>
    </w:p>
    <w:p w:rsidR="00000000" w:rsidDel="00000000" w:rsidP="00000000" w:rsidRDefault="00000000" w:rsidRPr="00000000">
      <w:pPr>
        <w:widowControl w:val="0"/>
        <w:tabs>
          <w:tab w:val="left" w:pos="220"/>
          <w:tab w:val="left" w:pos="720"/>
        </w:tabs>
        <w:spacing w:after="240" w:line="240" w:lineRule="auto"/>
        <w:contextualSpacing w:val="0"/>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S</w:t>
      </w:r>
      <w:r w:rsidDel="00000000" w:rsidR="00000000" w:rsidRPr="00000000">
        <w:rPr>
          <w:rFonts w:ascii="Times" w:cs="Times" w:eastAsia="Times" w:hAnsi="Times"/>
          <w:sz w:val="18"/>
          <w:szCs w:val="18"/>
          <w:rtl w:val="0"/>
        </w:rPr>
        <w:t xml:space="preserve">ocial workers understand that evaluation is an ongoing component of the dynamic and interactive process of social work practice with, and on behalf of, diverse individuals, families, groups, organizations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effectiveness.  </w:t>
      </w:r>
    </w:p>
    <w:p w:rsidR="00000000" w:rsidDel="00000000" w:rsidP="00000000" w:rsidRDefault="00000000" w:rsidRPr="00000000">
      <w:pPr>
        <w:spacing w:before="0" w:line="240" w:lineRule="auto"/>
        <w:contextualSpacing w:val="0"/>
        <w:rPr>
          <w:rFonts w:ascii="Times New Roman" w:cs="Times New Roman" w:eastAsia="Times New Roman" w:hAnsi="Times New Roman"/>
          <w:i w:val="1"/>
          <w:sz w:val="20"/>
          <w:szCs w:val="20"/>
        </w:rPr>
      </w:pPr>
      <w:r w:rsidDel="00000000" w:rsidR="00000000" w:rsidRPr="00000000">
        <w:rPr>
          <w:rtl w:val="0"/>
        </w:rPr>
      </w:r>
    </w:p>
    <w:tbl>
      <w:tblPr>
        <w:tblStyle w:val="Table9"/>
        <w:tblW w:w="145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58"/>
        <w:gridCol w:w="5850"/>
        <w:gridCol w:w="1260"/>
        <w:gridCol w:w="990"/>
        <w:gridCol w:w="900"/>
        <w:gridCol w:w="1440"/>
        <w:tblGridChange w:id="0">
          <w:tblGrid>
            <w:gridCol w:w="4158"/>
            <w:gridCol w:w="5850"/>
            <w:gridCol w:w="1260"/>
            <w:gridCol w:w="990"/>
            <w:gridCol w:w="900"/>
            <w:gridCol w:w="1440"/>
          </w:tblGrid>
        </w:tblGridChange>
      </w:tblGrid>
      <w:tr>
        <w:trPr>
          <w:trHeight w:val="520" w:hRule="atLeast"/>
        </w:trPr>
        <w:tc>
          <w:tcPr>
            <w:vMerge w:val="restart"/>
            <w:tcBorders>
              <w:bottom w:color="000000" w:space="0" w:sz="4" w:val="single"/>
            </w:tcBorders>
          </w:tcPr>
          <w:p w:rsidR="00000000" w:rsidDel="00000000" w:rsidP="00000000" w:rsidRDefault="00000000" w:rsidRPr="00000000">
            <w:pPr>
              <w:spacing w:after="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after="0" w:before="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before="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Descriptors:</w:t>
            </w:r>
          </w:p>
        </w:tc>
        <w:tc>
          <w:tcPr>
            <w:vMerge w:val="restart"/>
          </w:tcPr>
          <w:p w:rsidR="00000000" w:rsidDel="00000000" w:rsidP="00000000" w:rsidRDefault="00000000" w:rsidRPr="00000000">
            <w:pPr>
              <w:spacing w:after="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after="0" w:before="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before="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Learning Contract Activities:</w:t>
            </w:r>
          </w:p>
        </w:tc>
        <w:tc>
          <w:tcPr>
            <w:gridSpan w:val="4"/>
            <w:tcBorders>
              <w:bottom w:color="000000" w:space="0" w:sz="4" w:val="single"/>
            </w:tcBorders>
          </w:tcPr>
          <w:p w:rsidR="00000000" w:rsidDel="00000000" w:rsidP="00000000" w:rsidRDefault="00000000" w:rsidRPr="00000000">
            <w:pPr>
              <w:spacing w:after="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Dimension of Competency Assessed via </w:t>
            </w:r>
          </w:p>
          <w:p w:rsidR="00000000" w:rsidDel="00000000" w:rsidP="00000000" w:rsidRDefault="00000000" w:rsidRPr="00000000">
            <w:pPr>
              <w:spacing w:before="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Articulated Learning Contract Activity</w:t>
            </w:r>
          </w:p>
        </w:tc>
      </w:tr>
      <w:tr>
        <w:trPr>
          <w:trHeight w:val="80" w:hRule="atLeast"/>
        </w:trPr>
        <w:tc>
          <w:tcPr>
            <w:vMerge w:val="continue"/>
            <w:tcBorders>
              <w:bottom w:color="000000" w:space="0" w:sz="4" w:val="single"/>
            </w:tcBorders>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Knowledge</w:t>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Values</w:t>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Skills</w:t>
            </w:r>
          </w:p>
        </w:tc>
        <w:tc>
          <w:tcPr/>
          <w:p w:rsidR="00000000" w:rsidDel="00000000" w:rsidP="00000000" w:rsidRDefault="00000000" w:rsidRPr="00000000">
            <w:pPr>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Cognitive &amp; Affective Processes</w:t>
            </w:r>
          </w:p>
        </w:tc>
      </w:tr>
      <w:tr>
        <w:trPr>
          <w:trHeight w:val="80" w:hRule="atLeast"/>
        </w:trP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Select and use appropriate methods of evaluation of outcomes.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r>
        <w:trPr>
          <w:trHeight w:val="80" w:hRule="atLeast"/>
        </w:trPr>
        <w:tc>
          <w:tcPr/>
          <w:p w:rsidR="00000000" w:rsidDel="00000000" w:rsidP="00000000" w:rsidRDefault="00000000" w:rsidRPr="00000000">
            <w:pPr>
              <w:spacing w:after="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spacing w:after="0" w:before="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Apply knowledge of human behavior and the social environment, person-in-environment, and other multi-disciplinary theoretical frameworks in the evaluation of outcomes.   </w:t>
            </w:r>
          </w:p>
          <w:p w:rsidR="00000000" w:rsidDel="00000000" w:rsidP="00000000" w:rsidRDefault="00000000" w:rsidRPr="00000000">
            <w:pPr>
              <w:spacing w:before="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r>
        <w:trPr>
          <w:trHeight w:val="80" w:hRule="atLeast"/>
        </w:trPr>
        <w:tc>
          <w:tcPr/>
          <w:p w:rsidR="00000000" w:rsidDel="00000000" w:rsidP="00000000" w:rsidRDefault="00000000" w:rsidRPr="00000000">
            <w:pPr>
              <w:spacing w:after="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spacing w:after="0" w:before="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Critically analyze, monitor, and evaluate intervention and program processes and outcomes. </w:t>
            </w:r>
          </w:p>
          <w:p w:rsidR="00000000" w:rsidDel="00000000" w:rsidP="00000000" w:rsidRDefault="00000000" w:rsidRPr="00000000">
            <w:pPr>
              <w:spacing w:before="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r>
        <w:trPr>
          <w:trHeight w:val="80" w:hRule="atLeast"/>
        </w:trPr>
        <w:tc>
          <w:tcPr/>
          <w:p w:rsidR="00000000" w:rsidDel="00000000" w:rsidP="00000000" w:rsidRDefault="00000000" w:rsidRPr="00000000">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Apply evaluation findings to improve practice effectiveness at the micro, mezzo, and macro levels. </w:t>
            </w:r>
          </w:p>
          <w:p w:rsidR="00000000" w:rsidDel="00000000" w:rsidP="00000000" w:rsidRDefault="00000000" w:rsidRPr="00000000">
            <w:pPr>
              <w:spacing w:before="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pPr>
        <w:spacing w:line="240" w:lineRule="auto"/>
        <w:contextualSpacing w:val="0"/>
        <w:rPr>
          <w:rFonts w:ascii="Times New Roman" w:cs="Times New Roman" w:eastAsia="Times New Roman" w:hAnsi="Times New Roman"/>
          <w:b w:val="1"/>
          <w:i w:val="1"/>
          <w:sz w:val="20"/>
          <w:szCs w:val="20"/>
        </w:rPr>
      </w:pPr>
      <w:r w:rsidDel="00000000" w:rsidR="00000000" w:rsidRPr="00000000">
        <w:rPr>
          <w:rtl w:val="0"/>
        </w:rPr>
      </w:r>
    </w:p>
    <w:sectPr>
      <w:headerReference r:id="rId5" w:type="default"/>
      <w:footerReference r:id="rId6" w:type="default"/>
      <w:pgSz w:h="12240" w:w="15840"/>
      <w:pgMar w:bottom="634" w:top="634" w:left="720" w:right="72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Cambr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88"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Student Name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