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EBB9" w14:textId="62D6C6C4" w:rsidR="002D7457" w:rsidRPr="009D16BF" w:rsidRDefault="00B34160" w:rsidP="009D16BF">
      <w:pPr>
        <w:pStyle w:val="Heading1"/>
      </w:pPr>
      <w:r w:rsidRPr="009D16BF">
        <w:t>Institutional Animal Care and Use Committee</w:t>
      </w:r>
      <w:r w:rsidR="008C1E6C" w:rsidRPr="009D16BF">
        <w:t xml:space="preserve"> (IACUC)</w:t>
      </w:r>
      <w:r w:rsidR="009D16BF">
        <w:br/>
      </w:r>
      <w:r w:rsidR="00945FC2" w:rsidRPr="009D16BF">
        <w:t xml:space="preserve">Request for </w:t>
      </w:r>
      <w:r w:rsidRPr="009D16BF">
        <w:t xml:space="preserve">Protocol Amendment </w:t>
      </w:r>
    </w:p>
    <w:p w14:paraId="119C20E1" w14:textId="77777777" w:rsidR="002D7457" w:rsidRDefault="002D7457" w:rsidP="009D16B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61734" w14:textId="77777777" w:rsidR="008C1E6C" w:rsidRPr="009D16BF" w:rsidRDefault="00C46CE3" w:rsidP="00CC5F8E">
      <w:pPr>
        <w:pStyle w:val="Heading2"/>
        <w:ind w:hanging="1440"/>
      </w:pPr>
      <w:r w:rsidRPr="009D16BF">
        <w:t xml:space="preserve">Section I </w:t>
      </w:r>
      <w:r w:rsidR="00D6325B" w:rsidRPr="009D16BF">
        <w:t>–</w:t>
      </w:r>
      <w:r w:rsidRPr="009D16BF">
        <w:t xml:space="preserve"> </w:t>
      </w:r>
      <w:r w:rsidR="00D6325B" w:rsidRPr="009D16BF">
        <w:t>Read and follow these i</w:t>
      </w:r>
      <w:r w:rsidR="008C1E6C" w:rsidRPr="009D16BF">
        <w:t>nstructions</w:t>
      </w:r>
      <w:r w:rsidR="00E11BDC" w:rsidRPr="009D16BF">
        <w:t xml:space="preserve"> </w:t>
      </w:r>
      <w:r w:rsidR="00E11BDC" w:rsidRPr="009D16BF">
        <w:rPr>
          <w:highlight w:val="yellow"/>
        </w:rPr>
        <w:t>(do not submit this page)</w:t>
      </w:r>
      <w:r w:rsidR="008C1E6C" w:rsidRPr="009D16BF">
        <w:t>:</w:t>
      </w:r>
    </w:p>
    <w:p w14:paraId="57D4F9F6" w14:textId="77777777" w:rsidR="00D6325B" w:rsidRPr="002D7457" w:rsidRDefault="00D6325B" w:rsidP="009D16B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5358C1E" w14:textId="59B956C2" w:rsidR="008C1E6C" w:rsidRDefault="008C1E6C" w:rsidP="00CF539E">
      <w:pPr>
        <w:pStyle w:val="ListParagraph"/>
        <w:numPr>
          <w:ilvl w:val="0"/>
          <w:numId w:val="2"/>
        </w:numPr>
        <w:spacing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539E">
        <w:rPr>
          <w:rFonts w:ascii="Times New Roman" w:hAnsi="Times New Roman" w:cs="Times New Roman"/>
          <w:sz w:val="24"/>
          <w:szCs w:val="24"/>
        </w:rPr>
        <w:t xml:space="preserve">Complete the information </w:t>
      </w:r>
      <w:r w:rsidR="00C46CE3" w:rsidRPr="00CF539E">
        <w:rPr>
          <w:rFonts w:ascii="Times New Roman" w:hAnsi="Times New Roman" w:cs="Times New Roman"/>
          <w:sz w:val="24"/>
          <w:szCs w:val="24"/>
        </w:rPr>
        <w:t>in Section II</w:t>
      </w:r>
      <w:r w:rsidR="00CE798D" w:rsidRPr="00CF539E">
        <w:rPr>
          <w:rFonts w:ascii="Times New Roman" w:hAnsi="Times New Roman" w:cs="Times New Roman"/>
          <w:sz w:val="24"/>
          <w:szCs w:val="24"/>
        </w:rPr>
        <w:t xml:space="preserve"> on </w:t>
      </w:r>
      <w:r w:rsidR="009430FA" w:rsidRPr="00CF539E">
        <w:rPr>
          <w:rFonts w:ascii="Times New Roman" w:hAnsi="Times New Roman" w:cs="Times New Roman"/>
          <w:sz w:val="24"/>
          <w:szCs w:val="24"/>
        </w:rPr>
        <w:t>the reverse</w:t>
      </w:r>
      <w:r w:rsidR="00CE798D" w:rsidRPr="00CF539E">
        <w:rPr>
          <w:rFonts w:ascii="Times New Roman" w:hAnsi="Times New Roman" w:cs="Times New Roman"/>
          <w:sz w:val="24"/>
          <w:szCs w:val="24"/>
        </w:rPr>
        <w:t xml:space="preserve"> side of this form and submit this form with your amendment request.</w:t>
      </w:r>
    </w:p>
    <w:p w14:paraId="669C8BF3" w14:textId="437A9F84" w:rsidR="00B66711" w:rsidRPr="00CF539E" w:rsidRDefault="00CF539E" w:rsidP="00CF539E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539E">
        <w:rPr>
          <w:rFonts w:ascii="Times New Roman" w:hAnsi="Times New Roman" w:cs="Times New Roman"/>
          <w:sz w:val="24"/>
          <w:szCs w:val="24"/>
        </w:rPr>
        <w:t xml:space="preserve">Amend the existing approved protocol by describing the proposed changes in the same </w:t>
      </w:r>
      <w:r w:rsidR="002B6CF7" w:rsidRPr="00CF539E">
        <w:rPr>
          <w:rFonts w:ascii="Times New Roman" w:hAnsi="Times New Roman" w:cs="Times New Roman"/>
          <w:sz w:val="24"/>
          <w:szCs w:val="24"/>
        </w:rPr>
        <w:t>section but</w:t>
      </w:r>
      <w:r w:rsidRPr="00CF539E">
        <w:rPr>
          <w:rFonts w:ascii="Times New Roman" w:hAnsi="Times New Roman" w:cs="Times New Roman"/>
          <w:sz w:val="24"/>
          <w:szCs w:val="24"/>
        </w:rPr>
        <w:t xml:space="preserve"> </w:t>
      </w:r>
      <w:r w:rsidRPr="00CF539E">
        <w:rPr>
          <w:rFonts w:ascii="Times New Roman" w:hAnsi="Times New Roman" w:cs="Times New Roman"/>
          <w:i/>
          <w:sz w:val="24"/>
          <w:szCs w:val="24"/>
        </w:rPr>
        <w:t>following</w:t>
      </w:r>
      <w:r w:rsidRPr="00CF539E">
        <w:rPr>
          <w:rFonts w:ascii="Times New Roman" w:hAnsi="Times New Roman" w:cs="Times New Roman"/>
          <w:sz w:val="24"/>
          <w:szCs w:val="24"/>
        </w:rPr>
        <w:t xml:space="preserve"> the original response(s). </w:t>
      </w:r>
      <w:r w:rsidR="00167FA4" w:rsidRPr="00167FA4">
        <w:rPr>
          <w:rFonts w:ascii="Times New Roman" w:hAnsi="Times New Roman" w:cs="Times New Roman"/>
          <w:b/>
          <w:i/>
          <w:iCs/>
          <w:sz w:val="24"/>
          <w:szCs w:val="24"/>
        </w:rPr>
        <w:t>Do not</w:t>
      </w:r>
      <w:r w:rsidRPr="004431F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67FA4">
        <w:rPr>
          <w:rFonts w:ascii="Times New Roman" w:hAnsi="Times New Roman" w:cs="Times New Roman"/>
          <w:b/>
          <w:sz w:val="24"/>
          <w:szCs w:val="24"/>
        </w:rPr>
        <w:t xml:space="preserve">change the original response(s) but </w:t>
      </w:r>
      <w:r w:rsidR="00167FA4" w:rsidRPr="00167FA4">
        <w:rPr>
          <w:rFonts w:ascii="Times New Roman" w:hAnsi="Times New Roman" w:cs="Times New Roman"/>
          <w:b/>
          <w:i/>
          <w:iCs/>
          <w:sz w:val="24"/>
          <w:szCs w:val="24"/>
        </w:rPr>
        <w:t>do</w:t>
      </w:r>
      <w:r w:rsidRPr="00167FA4">
        <w:rPr>
          <w:rFonts w:ascii="Times New Roman" w:hAnsi="Times New Roman" w:cs="Times New Roman"/>
          <w:b/>
          <w:sz w:val="24"/>
          <w:szCs w:val="24"/>
        </w:rPr>
        <w:t xml:space="preserve"> underline the new text</w:t>
      </w:r>
      <w:r w:rsidRPr="004431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F539E">
        <w:rPr>
          <w:rFonts w:ascii="Times New Roman" w:hAnsi="Times New Roman" w:cs="Times New Roman"/>
          <w:sz w:val="24"/>
          <w:szCs w:val="24"/>
        </w:rPr>
        <w:t xml:space="preserve"> See example below. In this example, the original response to this question was 64 rats; the description of 76 rats is the proposed change. </w:t>
      </w:r>
      <w:r w:rsidRPr="00C06DAF">
        <w:rPr>
          <w:rFonts w:ascii="Times New Roman" w:hAnsi="Times New Roman" w:cs="Times New Roman"/>
          <w:i/>
          <w:iCs/>
          <w:sz w:val="24"/>
          <w:szCs w:val="24"/>
        </w:rPr>
        <w:t>Alternatively, you can use the ‘Track Changes’ feature in MS Word®</w:t>
      </w:r>
      <w:r w:rsidRPr="00CF539E">
        <w:rPr>
          <w:rFonts w:ascii="Times New Roman" w:hAnsi="Times New Roman" w:cs="Times New Roman"/>
          <w:sz w:val="24"/>
          <w:szCs w:val="24"/>
        </w:rPr>
        <w:t>, as long as the new text is underlined and edited text remains legible (do not ‘Accept’ the tracked changes).</w:t>
      </w:r>
      <w:r w:rsidR="00DF0788">
        <w:rPr>
          <w:rFonts w:ascii="Times New Roman" w:hAnsi="Times New Roman" w:cs="Times New Roman"/>
          <w:sz w:val="24"/>
          <w:szCs w:val="24"/>
        </w:rPr>
        <w:br/>
      </w:r>
    </w:p>
    <w:p w14:paraId="1EB1E956" w14:textId="77777777" w:rsidR="00056CF1" w:rsidRDefault="00E37086" w:rsidP="00DF0788">
      <w:pPr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4A806FA" wp14:editId="1168849B">
                <wp:extent cx="5048250" cy="2926080"/>
                <wp:effectExtent l="0" t="0" r="19050" b="2667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0560B" w14:textId="209486C3" w:rsidR="00056CF1" w:rsidRDefault="00056CF1" w:rsidP="00056CF1">
                            <w:pPr>
                              <w:ind w:left="9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Identify the animals to be used (genus, species, life stage) and number for the entire protocol period. Future increases to this number require an approved amendment.</w:t>
                            </w:r>
                          </w:p>
                          <w:p w14:paraId="31C1D79D" w14:textId="77777777" w:rsidR="00056CF1" w:rsidRDefault="00056CF1" w:rsidP="00056CF1">
                            <w:pPr>
                              <w:ind w:left="2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795FFF" w14:textId="08D67BFC" w:rsidR="00056CF1" w:rsidRPr="00A72996" w:rsidRDefault="00056CF1" w:rsidP="00056CF1">
                            <w:pPr>
                              <w:ind w:left="900" w:hanging="90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64 adult Sprague Dawley Rat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Rattus norvegicus</w:t>
                            </w:r>
                            <w:r w:rsidRPr="00B66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CF539E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CF539E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Original</w:t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F64C227" w14:textId="77777777" w:rsidR="00056CF1" w:rsidRDefault="00056CF1" w:rsidP="00056CF1">
                            <w:pPr>
                              <w:ind w:left="2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795093" w14:textId="2712CC6C" w:rsidR="00056CF1" w:rsidRPr="00A72996" w:rsidRDefault="00056CF1" w:rsidP="00056CF1">
                            <w:pPr>
                              <w:ind w:left="900" w:hanging="27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76 adult Sprague Dawley Rat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Rattus norvegicus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CF539E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CF539E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Underline</w:t>
                            </w:r>
                            <w:r w:rsidR="0000466E" w:rsidRPr="00A7299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414DB5D" w14:textId="77777777" w:rsidR="00B66711" w:rsidRDefault="00B66711" w:rsidP="00B667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304EF5" w14:textId="77777777" w:rsidR="00B66711" w:rsidRPr="007753EC" w:rsidRDefault="00B66711" w:rsidP="00B667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753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3B51F47B" w14:textId="77777777" w:rsidR="00B66711" w:rsidRDefault="00B66711" w:rsidP="00B667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1CE69A" w14:textId="21551199" w:rsidR="00B66711" w:rsidRDefault="00B66711" w:rsidP="00B66711">
                            <w:pPr>
                              <w:ind w:left="9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Identify the animals to be used (genus, species, life stage) and number for the entire protocol period. Future increases to this number require an approved amendment.</w:t>
                            </w:r>
                          </w:p>
                          <w:p w14:paraId="39C78C92" w14:textId="77777777" w:rsidR="00817E45" w:rsidRPr="00B66711" w:rsidRDefault="00B66711" w:rsidP="00B667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76882B9" w14:textId="71999053" w:rsidR="00817E45" w:rsidRPr="00A72996" w:rsidRDefault="00817E45" w:rsidP="00B66711">
                            <w:pPr>
                              <w:ind w:left="6480" w:hanging="55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76 adult Sprague Dawley Rat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Rattus norvegicus</w:t>
                            </w:r>
                            <w:r w:rsidRPr="00B66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CF539E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Track Changes</w:t>
                            </w:r>
                            <w:r w:rsidR="00B66711" w:rsidRPr="00A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F6BCA33" w14:textId="77777777" w:rsidR="00056CF1" w:rsidRPr="00A72996" w:rsidRDefault="00056CF1" w:rsidP="00A72996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38DBF3" w14:textId="77777777" w:rsidR="00056CF1" w:rsidRDefault="00056CF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A806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97.5pt;height:2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">
                <v:textbox>
                  <w:txbxContent>
                    <w:p w14:paraId="7410560B" w14:textId="209486C3" w:rsidR="00056CF1" w:rsidRDefault="00056CF1" w:rsidP="00056CF1">
                      <w:pPr>
                        <w:ind w:left="9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Identify the animals to be used (genus, species, life stage) and number for the entire protocol period. Future increases to this number require an approved amendment.</w:t>
                      </w:r>
                    </w:p>
                    <w:p w14:paraId="31C1D79D" w14:textId="77777777" w:rsidR="00056CF1" w:rsidRDefault="00056CF1" w:rsidP="00056CF1">
                      <w:pPr>
                        <w:ind w:left="2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795FFF" w14:textId="08D67BFC" w:rsidR="00056CF1" w:rsidRPr="00A72996" w:rsidRDefault="00056CF1" w:rsidP="00056CF1">
                      <w:pPr>
                        <w:ind w:left="900" w:hanging="90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64 adult Sprague Dawley Rat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Rattus norvegicus</w:t>
                      </w:r>
                      <w:r w:rsidRPr="00B66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CF539E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CF539E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B66711" w:rsidRPr="00A7299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66711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B66711" w:rsidRPr="00A7299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Original</w:t>
                      </w:r>
                      <w:r w:rsidR="00B66711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6F64C227" w14:textId="77777777" w:rsidR="00056CF1" w:rsidRDefault="00056CF1" w:rsidP="00056CF1">
                      <w:pPr>
                        <w:ind w:left="2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795093" w14:textId="2712CC6C" w:rsidR="00056CF1" w:rsidRPr="00A72996" w:rsidRDefault="00056CF1" w:rsidP="00056CF1">
                      <w:pPr>
                        <w:ind w:left="900" w:hanging="27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76 adult Sprague Dawley Rat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Rattus norvegicus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CF539E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CF539E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B66711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</w:t>
                      </w:r>
                      <w:r w:rsidR="00B66711" w:rsidRPr="00A7299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Underline</w:t>
                      </w:r>
                      <w:r w:rsidR="0000466E" w:rsidRPr="00A7299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d</w:t>
                      </w:r>
                      <w:r w:rsidR="00B66711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5414DB5D" w14:textId="77777777" w:rsidR="00B66711" w:rsidRDefault="00B66711" w:rsidP="00B667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304EF5" w14:textId="77777777" w:rsidR="00B66711" w:rsidRPr="007753EC" w:rsidRDefault="00B66711" w:rsidP="00B667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7753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OR</w:t>
                      </w:r>
                    </w:p>
                    <w:p w14:paraId="3B51F47B" w14:textId="77777777" w:rsidR="00B66711" w:rsidRDefault="00B66711" w:rsidP="00B667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1CE69A" w14:textId="21551199" w:rsidR="00B66711" w:rsidRDefault="00B66711" w:rsidP="00B66711">
                      <w:pPr>
                        <w:ind w:left="9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Identify the animals to be used (genus, species, life stage) and number for the entire protocol period. Future increases to this number require an approved amendment.</w:t>
                      </w:r>
                    </w:p>
                    <w:p w14:paraId="39C78C92" w14:textId="77777777" w:rsidR="00817E45" w:rsidRPr="00B66711" w:rsidRDefault="00B66711" w:rsidP="00B667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376882B9" w14:textId="71999053" w:rsidR="00817E45" w:rsidRPr="00A72996" w:rsidRDefault="00817E45" w:rsidP="00B66711">
                      <w:pPr>
                        <w:ind w:left="6480" w:hanging="55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76 adult Sprague Dawley Rat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Rattus norvegicus</w:t>
                      </w:r>
                      <w:r w:rsidRPr="00B66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CF539E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B66711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</w:t>
                      </w:r>
                      <w:r w:rsidR="00B66711" w:rsidRPr="00A7299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Track Changes</w:t>
                      </w:r>
                      <w:r w:rsidR="00B66711" w:rsidRPr="00A729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3F6BCA33" w14:textId="77777777" w:rsidR="00056CF1" w:rsidRPr="00A72996" w:rsidRDefault="00056CF1" w:rsidP="00A72996">
                      <w:pPr>
                        <w:ind w:left="0" w:firstLine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38DBF3" w14:textId="77777777" w:rsidR="00056CF1" w:rsidRDefault="00056CF1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DAAE98" w14:textId="77777777" w:rsidR="00056CF1" w:rsidRDefault="00056CF1" w:rsidP="00DE677D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68C3A6" w14:textId="4F130813" w:rsidR="00B643CF" w:rsidRPr="00DE677D" w:rsidRDefault="008C1E6C" w:rsidP="00DE677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Submit </w:t>
      </w:r>
      <w:r w:rsidR="000F2C60"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>Section II</w:t>
      </w:r>
      <w:r w:rsidR="00E11BDC"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(next page)</w:t>
      </w:r>
      <w:r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and the amended protocol to the IACUC </w:t>
      </w:r>
      <w:r w:rsidR="00BC6532"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>via email to</w:t>
      </w:r>
      <w:r w:rsidR="00BD4AC6"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hyperlink r:id="rId7" w:history="1">
        <w:r w:rsidR="00BD4AC6" w:rsidRPr="00DE677D">
          <w:rPr>
            <w:rStyle w:val="Hyperlink"/>
            <w:rFonts w:ascii="Times New Roman" w:hAnsi="Times New Roman" w:cs="Times New Roman"/>
            <w:b/>
            <w:sz w:val="24"/>
            <w:szCs w:val="24"/>
            <w:highlight w:val="yellow"/>
          </w:rPr>
          <w:t>umric@maine.edu</w:t>
        </w:r>
      </w:hyperlink>
      <w:r w:rsidR="00BD4AC6"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E677D">
        <w:rPr>
          <w:rFonts w:ascii="Times New Roman" w:hAnsi="Times New Roman" w:cs="Times New Roman"/>
          <w:b/>
          <w:sz w:val="24"/>
          <w:szCs w:val="24"/>
          <w:highlight w:val="yellow"/>
        </w:rPr>
        <w:t>two weeks prior to a scheduled IACUC meeting</w:t>
      </w:r>
      <w:r w:rsidRPr="00DE677D">
        <w:rPr>
          <w:rFonts w:ascii="Times New Roman" w:hAnsi="Times New Roman" w:cs="Times New Roman"/>
          <w:sz w:val="24"/>
          <w:szCs w:val="24"/>
        </w:rPr>
        <w:t>.</w:t>
      </w:r>
      <w:r w:rsidR="00CF539E" w:rsidRPr="00DE677D">
        <w:rPr>
          <w:rFonts w:ascii="Times New Roman" w:hAnsi="Times New Roman" w:cs="Times New Roman"/>
          <w:sz w:val="24"/>
          <w:szCs w:val="24"/>
        </w:rPr>
        <w:t xml:space="preserve"> </w:t>
      </w:r>
      <w:r w:rsidRPr="00DE677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hyperlink r:id="rId8" w:history="1">
        <w:r w:rsidR="00DC7F05" w:rsidRPr="00DE677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IACUC </w:t>
        </w:r>
        <w:r w:rsidRPr="00DE677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meeting dates</w:t>
        </w:r>
      </w:hyperlink>
      <w:r w:rsidR="00DC7F05" w:rsidRPr="00DE677D">
        <w:rPr>
          <w:rFonts w:ascii="Times New Roman" w:hAnsi="Times New Roman" w:cs="Times New Roman"/>
          <w:bCs/>
          <w:sz w:val="24"/>
          <w:szCs w:val="24"/>
        </w:rPr>
        <w:t xml:space="preserve"> are posted at online. </w:t>
      </w:r>
      <w:r w:rsidRPr="00DE677D">
        <w:rPr>
          <w:rFonts w:ascii="Times New Roman" w:hAnsi="Times New Roman" w:cs="Times New Roman"/>
          <w:bCs/>
          <w:sz w:val="24"/>
          <w:szCs w:val="24"/>
        </w:rPr>
        <w:t xml:space="preserve">Protocols received late will be held until </w:t>
      </w:r>
      <w:proofErr w:type="gramStart"/>
      <w:r w:rsidRPr="00DE677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E677D">
        <w:rPr>
          <w:rFonts w:ascii="Times New Roman" w:hAnsi="Times New Roman" w:cs="Times New Roman"/>
          <w:sz w:val="24"/>
          <w:szCs w:val="24"/>
        </w:rPr>
        <w:t>next</w:t>
      </w:r>
      <w:proofErr w:type="gramEnd"/>
      <w:r w:rsidRPr="00DE677D">
        <w:rPr>
          <w:rFonts w:ascii="Times New Roman" w:hAnsi="Times New Roman" w:cs="Times New Roman"/>
          <w:sz w:val="24"/>
          <w:szCs w:val="24"/>
        </w:rPr>
        <w:t xml:space="preserve"> month’s meeting. </w:t>
      </w:r>
      <w:r w:rsidRPr="00DE677D">
        <w:rPr>
          <w:rFonts w:ascii="Times New Roman" w:hAnsi="Times New Roman" w:cs="Times New Roman"/>
          <w:bCs/>
          <w:sz w:val="24"/>
          <w:szCs w:val="24"/>
        </w:rPr>
        <w:t xml:space="preserve">Please call </w:t>
      </w:r>
      <w:r w:rsidR="00BD4AC6" w:rsidRPr="00DE677D">
        <w:rPr>
          <w:rFonts w:ascii="Times New Roman" w:hAnsi="Times New Roman" w:cs="Times New Roman"/>
          <w:bCs/>
          <w:sz w:val="24"/>
          <w:szCs w:val="24"/>
        </w:rPr>
        <w:t xml:space="preserve">Paula Portalatin </w:t>
      </w:r>
      <w:proofErr w:type="gramStart"/>
      <w:r w:rsidR="00BD4AC6" w:rsidRPr="00DE677D">
        <w:rPr>
          <w:rFonts w:ascii="Times New Roman" w:hAnsi="Times New Roman" w:cs="Times New Roman"/>
          <w:bCs/>
          <w:sz w:val="24"/>
          <w:szCs w:val="24"/>
        </w:rPr>
        <w:t>at</w:t>
      </w:r>
      <w:proofErr w:type="gramEnd"/>
      <w:r w:rsidR="00BD4AC6" w:rsidRPr="00DE677D">
        <w:rPr>
          <w:rFonts w:ascii="Times New Roman" w:hAnsi="Times New Roman" w:cs="Times New Roman"/>
          <w:bCs/>
          <w:sz w:val="24"/>
          <w:szCs w:val="24"/>
        </w:rPr>
        <w:t xml:space="preserve"> 1-2657 </w:t>
      </w:r>
      <w:r w:rsidRPr="00DE677D">
        <w:rPr>
          <w:rFonts w:ascii="Times New Roman" w:hAnsi="Times New Roman" w:cs="Times New Roman"/>
          <w:bCs/>
          <w:sz w:val="24"/>
          <w:szCs w:val="24"/>
        </w:rPr>
        <w:t>if you have questions.</w:t>
      </w:r>
    </w:p>
    <w:p w14:paraId="2A2D217C" w14:textId="77777777" w:rsidR="00B643CF" w:rsidRDefault="00B643C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B650261" w14:textId="77777777" w:rsidR="008C1E6C" w:rsidRPr="002D7457" w:rsidRDefault="00C46CE3" w:rsidP="00B643CF">
      <w:pPr>
        <w:pStyle w:val="Heading2"/>
        <w:ind w:left="0" w:firstLine="0"/>
      </w:pPr>
      <w:r w:rsidRPr="002D7457">
        <w:lastRenderedPageBreak/>
        <w:t>Section II – Complete requested information:</w:t>
      </w:r>
    </w:p>
    <w:p w14:paraId="241940FF" w14:textId="77777777" w:rsidR="00C46CE3" w:rsidRDefault="00C46CE3" w:rsidP="009210E3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DF3A98" w14:textId="77777777" w:rsidR="00C46CE3" w:rsidRDefault="00C46CE3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D7CFC1" w14:textId="0C58C990" w:rsidR="008C1E6C" w:rsidRPr="00363D9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D9C">
        <w:rPr>
          <w:rFonts w:ascii="Times New Roman" w:hAnsi="Times New Roman" w:cs="Times New Roman"/>
          <w:b/>
          <w:bCs/>
          <w:sz w:val="24"/>
          <w:szCs w:val="24"/>
        </w:rPr>
        <w:t>Principal Investigator</w:t>
      </w:r>
      <w:r w:rsidR="00B643CF" w:rsidRPr="00363D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4A06BC" w14:textId="77777777" w:rsidR="008C1E6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F16284" w14:textId="77777777" w:rsidR="008C1E6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5D447B" w14:textId="45395BC6" w:rsidR="008C1E6C" w:rsidRDefault="003242D8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D9C">
        <w:rPr>
          <w:rFonts w:ascii="Times New Roman" w:hAnsi="Times New Roman" w:cs="Times New Roman"/>
          <w:b/>
          <w:bCs/>
          <w:sz w:val="24"/>
          <w:szCs w:val="24"/>
        </w:rPr>
        <w:t xml:space="preserve">Original </w:t>
      </w:r>
      <w:r w:rsidR="008C1E6C" w:rsidRPr="00363D9C">
        <w:rPr>
          <w:rFonts w:ascii="Times New Roman" w:hAnsi="Times New Roman" w:cs="Times New Roman"/>
          <w:b/>
          <w:bCs/>
          <w:sz w:val="24"/>
          <w:szCs w:val="24"/>
        </w:rPr>
        <w:t>Approved Protocol Title</w:t>
      </w:r>
      <w:r w:rsidR="008C1E6C">
        <w:rPr>
          <w:rFonts w:ascii="Times New Roman" w:hAnsi="Times New Roman" w:cs="Times New Roman"/>
          <w:sz w:val="24"/>
          <w:szCs w:val="24"/>
        </w:rPr>
        <w:t>:</w:t>
      </w:r>
      <w:r w:rsidR="00B6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91D7D" w14:textId="77777777" w:rsidR="008C1E6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8D3972" w14:textId="77777777" w:rsidR="008C1E6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E1C020" w14:textId="44385539" w:rsidR="008C1E6C" w:rsidRDefault="003242D8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D9C">
        <w:rPr>
          <w:rFonts w:ascii="Times New Roman" w:hAnsi="Times New Roman" w:cs="Times New Roman"/>
          <w:b/>
          <w:bCs/>
          <w:sz w:val="24"/>
          <w:szCs w:val="24"/>
        </w:rPr>
        <w:t xml:space="preserve">Original </w:t>
      </w:r>
      <w:r w:rsidR="008C1E6C" w:rsidRPr="00363D9C">
        <w:rPr>
          <w:rFonts w:ascii="Times New Roman" w:hAnsi="Times New Roman" w:cs="Times New Roman"/>
          <w:b/>
          <w:bCs/>
          <w:sz w:val="24"/>
          <w:szCs w:val="24"/>
        </w:rPr>
        <w:t>Approved Protocol Number</w:t>
      </w:r>
      <w:r w:rsidR="008C1E6C">
        <w:rPr>
          <w:rFonts w:ascii="Times New Roman" w:hAnsi="Times New Roman" w:cs="Times New Roman"/>
          <w:sz w:val="24"/>
          <w:szCs w:val="24"/>
        </w:rPr>
        <w:t>:</w:t>
      </w:r>
      <w:r w:rsidR="00B6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4732D" w14:textId="77777777" w:rsidR="008C1E6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13603C" w14:textId="77777777" w:rsidR="008C1E6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5FC44D" w14:textId="77777777" w:rsidR="008C1E6C" w:rsidRDefault="008C1E6C" w:rsidP="009D16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E42D3B" w14:textId="3A5F1B01" w:rsidR="00B34160" w:rsidRPr="00B34160" w:rsidRDefault="00B34160" w:rsidP="00954686">
      <w:pPr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C145FF">
        <w:rPr>
          <w:rFonts w:ascii="Times New Roman" w:hAnsi="Times New Roman" w:cs="Times New Roman"/>
          <w:sz w:val="24"/>
          <w:szCs w:val="24"/>
        </w:rPr>
        <w:t xml:space="preserve">Provide a brief </w:t>
      </w:r>
      <w:r w:rsidR="00C145FF">
        <w:rPr>
          <w:rFonts w:ascii="Times New Roman" w:hAnsi="Times New Roman" w:cs="Times New Roman"/>
          <w:sz w:val="24"/>
          <w:szCs w:val="24"/>
        </w:rPr>
        <w:t xml:space="preserve">(fit on this page) </w:t>
      </w:r>
      <w:r w:rsidRPr="00C145FF">
        <w:rPr>
          <w:rFonts w:ascii="Times New Roman" w:hAnsi="Times New Roman" w:cs="Times New Roman"/>
          <w:sz w:val="24"/>
          <w:szCs w:val="24"/>
        </w:rPr>
        <w:t>description of the amendment, in general</w:t>
      </w:r>
      <w:r w:rsidR="00C145FF">
        <w:rPr>
          <w:rFonts w:ascii="Times New Roman" w:hAnsi="Times New Roman" w:cs="Times New Roman"/>
          <w:sz w:val="24"/>
          <w:szCs w:val="24"/>
        </w:rPr>
        <w:t xml:space="preserve"> terms, </w:t>
      </w:r>
      <w:r w:rsidRPr="00C145FF">
        <w:rPr>
          <w:rFonts w:ascii="Times New Roman" w:hAnsi="Times New Roman" w:cs="Times New Roman"/>
          <w:sz w:val="24"/>
          <w:szCs w:val="24"/>
        </w:rPr>
        <w:t>and why it is needed</w:t>
      </w:r>
      <w:r w:rsidR="00C145FF">
        <w:rPr>
          <w:rFonts w:ascii="Times New Roman" w:hAnsi="Times New Roman" w:cs="Times New Roman"/>
          <w:sz w:val="24"/>
          <w:szCs w:val="24"/>
        </w:rPr>
        <w:t xml:space="preserve"> to meet or revise the objectives of the original protocol. Please indicate whether this amendment would change the pain classification of the original study (</w:t>
      </w:r>
      <w:r w:rsidR="004B2446">
        <w:rPr>
          <w:rFonts w:ascii="Times New Roman" w:hAnsi="Times New Roman" w:cs="Times New Roman"/>
          <w:sz w:val="24"/>
          <w:szCs w:val="24"/>
        </w:rPr>
        <w:t xml:space="preserve">response to protocol </w:t>
      </w:r>
      <w:r w:rsidR="00581FA8">
        <w:rPr>
          <w:rFonts w:ascii="Times New Roman" w:hAnsi="Times New Roman" w:cs="Times New Roman"/>
          <w:sz w:val="24"/>
          <w:szCs w:val="24"/>
        </w:rPr>
        <w:t>question #</w:t>
      </w:r>
      <w:r w:rsidR="00EC0C6B">
        <w:rPr>
          <w:rFonts w:ascii="Times New Roman" w:hAnsi="Times New Roman" w:cs="Times New Roman"/>
          <w:sz w:val="24"/>
          <w:szCs w:val="24"/>
        </w:rPr>
        <w:t>11e</w:t>
      </w:r>
      <w:r w:rsidR="00581FA8">
        <w:rPr>
          <w:rFonts w:ascii="Times New Roman" w:hAnsi="Times New Roman" w:cs="Times New Roman"/>
          <w:sz w:val="24"/>
          <w:szCs w:val="24"/>
        </w:rPr>
        <w:t>).</w:t>
      </w:r>
    </w:p>
    <w:sectPr w:rsidR="00B34160" w:rsidRPr="00B34160" w:rsidSect="00E0547E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8F4" w14:textId="77777777" w:rsidR="009D16BF" w:rsidRDefault="009D16BF" w:rsidP="009D16BF">
      <w:r>
        <w:separator/>
      </w:r>
    </w:p>
  </w:endnote>
  <w:endnote w:type="continuationSeparator" w:id="0">
    <w:p w14:paraId="3E52642B" w14:textId="77777777" w:rsidR="009D16BF" w:rsidRDefault="009D16BF" w:rsidP="009D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3BA7" w14:textId="55E2D5F1" w:rsidR="009D16BF" w:rsidRPr="0074760B" w:rsidRDefault="00E0547E" w:rsidP="00E054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1800059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16BF" w:rsidRPr="009D16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16BF" w:rsidRPr="009D16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D16BF" w:rsidRPr="009D16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16BF" w:rsidRPr="009D16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D16BF" w:rsidRPr="009D16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noProof/>
        <w:sz w:val="24"/>
        <w:szCs w:val="24"/>
      </w:rPr>
      <w:tab/>
    </w:r>
    <w:r w:rsidRPr="0074760B">
      <w:rPr>
        <w:rFonts w:ascii="Times New Roman" w:hAnsi="Times New Roman" w:cs="Times New Roman"/>
        <w:sz w:val="16"/>
        <w:szCs w:val="16"/>
      </w:rPr>
      <w:t>December 201</w:t>
    </w:r>
    <w:r w:rsidRPr="0074760B">
      <w:rPr>
        <w:rFonts w:ascii="Times New Roman" w:hAnsi="Times New Roman" w:cs="Times New Roman"/>
        <w:sz w:val="16"/>
        <w:szCs w:val="16"/>
      </w:rPr>
      <w:t>8</w:t>
    </w:r>
  </w:p>
  <w:p w14:paraId="492ECD3B" w14:textId="77777777" w:rsidR="009D16BF" w:rsidRPr="0074760B" w:rsidRDefault="009D16B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DD38" w14:textId="77777777" w:rsidR="009D16BF" w:rsidRDefault="009D16BF" w:rsidP="009D16BF">
      <w:r>
        <w:separator/>
      </w:r>
    </w:p>
  </w:footnote>
  <w:footnote w:type="continuationSeparator" w:id="0">
    <w:p w14:paraId="28C81DF9" w14:textId="77777777" w:rsidR="009D16BF" w:rsidRDefault="009D16BF" w:rsidP="009D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6CD9"/>
    <w:multiLevelType w:val="hybridMultilevel"/>
    <w:tmpl w:val="39749488"/>
    <w:lvl w:ilvl="0" w:tplc="0FC419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A5A2F"/>
    <w:multiLevelType w:val="hybridMultilevel"/>
    <w:tmpl w:val="EA06AF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886725">
    <w:abstractNumId w:val="1"/>
  </w:num>
  <w:num w:numId="2" w16cid:durableId="6053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60"/>
    <w:rsid w:val="0000466E"/>
    <w:rsid w:val="00056CF1"/>
    <w:rsid w:val="000F2C60"/>
    <w:rsid w:val="00167FA4"/>
    <w:rsid w:val="00184B65"/>
    <w:rsid w:val="00292854"/>
    <w:rsid w:val="002B6CF7"/>
    <w:rsid w:val="002D7457"/>
    <w:rsid w:val="002F7B56"/>
    <w:rsid w:val="003242D8"/>
    <w:rsid w:val="00363D9C"/>
    <w:rsid w:val="004431FA"/>
    <w:rsid w:val="004939A4"/>
    <w:rsid w:val="004B2446"/>
    <w:rsid w:val="005544B0"/>
    <w:rsid w:val="00581FA8"/>
    <w:rsid w:val="006036C1"/>
    <w:rsid w:val="006673EB"/>
    <w:rsid w:val="00712678"/>
    <w:rsid w:val="00722839"/>
    <w:rsid w:val="0074760B"/>
    <w:rsid w:val="007753EC"/>
    <w:rsid w:val="007802AD"/>
    <w:rsid w:val="00817E45"/>
    <w:rsid w:val="008B4345"/>
    <w:rsid w:val="008C1E6C"/>
    <w:rsid w:val="008D2AE9"/>
    <w:rsid w:val="008F4B6B"/>
    <w:rsid w:val="009210E3"/>
    <w:rsid w:val="00922846"/>
    <w:rsid w:val="009430FA"/>
    <w:rsid w:val="00945FC2"/>
    <w:rsid w:val="00954686"/>
    <w:rsid w:val="00954745"/>
    <w:rsid w:val="0097120D"/>
    <w:rsid w:val="009808B8"/>
    <w:rsid w:val="009D16BF"/>
    <w:rsid w:val="00A72996"/>
    <w:rsid w:val="00B27B4E"/>
    <w:rsid w:val="00B34160"/>
    <w:rsid w:val="00B643CF"/>
    <w:rsid w:val="00B65CA7"/>
    <w:rsid w:val="00B66711"/>
    <w:rsid w:val="00B87717"/>
    <w:rsid w:val="00BC6532"/>
    <w:rsid w:val="00BD4AC6"/>
    <w:rsid w:val="00BF6F93"/>
    <w:rsid w:val="00C06DAF"/>
    <w:rsid w:val="00C145FF"/>
    <w:rsid w:val="00C36A6C"/>
    <w:rsid w:val="00C46CE3"/>
    <w:rsid w:val="00C9768B"/>
    <w:rsid w:val="00CA7D17"/>
    <w:rsid w:val="00CC5F8E"/>
    <w:rsid w:val="00CE6B66"/>
    <w:rsid w:val="00CE798D"/>
    <w:rsid w:val="00CF539E"/>
    <w:rsid w:val="00D2732A"/>
    <w:rsid w:val="00D522AD"/>
    <w:rsid w:val="00D6325B"/>
    <w:rsid w:val="00D824FA"/>
    <w:rsid w:val="00DC7F05"/>
    <w:rsid w:val="00DE677D"/>
    <w:rsid w:val="00DF0788"/>
    <w:rsid w:val="00E0547E"/>
    <w:rsid w:val="00E11BDC"/>
    <w:rsid w:val="00E37086"/>
    <w:rsid w:val="00EC0C6B"/>
    <w:rsid w:val="00EC7C31"/>
    <w:rsid w:val="00EF13F3"/>
    <w:rsid w:val="00F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AAAB"/>
  <w15:docId w15:val="{4EB30D9E-3FAB-4436-95B7-B6FF91AC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54"/>
  </w:style>
  <w:style w:type="paragraph" w:styleId="Heading1">
    <w:name w:val="heading 1"/>
    <w:basedOn w:val="Normal"/>
    <w:next w:val="Normal"/>
    <w:link w:val="Heading1Char"/>
    <w:uiPriority w:val="9"/>
    <w:qFormat/>
    <w:rsid w:val="009D16BF"/>
    <w:pPr>
      <w:spacing w:line="276" w:lineRule="auto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6BF"/>
    <w:pPr>
      <w:spacing w:line="276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1E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F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16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6BF"/>
  </w:style>
  <w:style w:type="paragraph" w:styleId="Footer">
    <w:name w:val="footer"/>
    <w:basedOn w:val="Normal"/>
    <w:link w:val="FooterChar"/>
    <w:uiPriority w:val="99"/>
    <w:unhideWhenUsed/>
    <w:rsid w:val="009D1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6BF"/>
  </w:style>
  <w:style w:type="character" w:customStyle="1" w:styleId="Heading1Char">
    <w:name w:val="Heading 1 Char"/>
    <w:basedOn w:val="DefaultParagraphFont"/>
    <w:link w:val="Heading1"/>
    <w:uiPriority w:val="9"/>
    <w:rsid w:val="009D16BF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6BF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F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research-compliance/animal-care/meeting-schedule-protocol-due-dat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ric@mai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Jones</dc:creator>
  <cp:lastModifiedBy>Cara Doiron</cp:lastModifiedBy>
  <cp:revision>26</cp:revision>
  <dcterms:created xsi:type="dcterms:W3CDTF">2021-06-28T14:00:00Z</dcterms:created>
  <dcterms:modified xsi:type="dcterms:W3CDTF">2024-01-25T17:40:00Z</dcterms:modified>
</cp:coreProperties>
</file>