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F817" w14:textId="77777777" w:rsidR="001A6C6F" w:rsidRPr="00E119E8" w:rsidRDefault="001A6C6F" w:rsidP="00240914">
      <w:pPr>
        <w:pStyle w:val="Heading1"/>
        <w:spacing w:before="160" w:beforeAutospacing="0" w:after="0" w:afterAutospacing="0"/>
        <w:rPr>
          <w:rStyle w:val="Heading1Char"/>
          <w:b/>
          <w:bCs/>
        </w:rPr>
      </w:pPr>
      <w:r w:rsidRPr="00240914">
        <w:rPr>
          <w:shd w:val="clear" w:color="auto" w:fill="17365D" w:themeFill="text2" w:themeFillShade="BF"/>
        </w:rPr>
        <w:drawing>
          <wp:anchor distT="0" distB="0" distL="114300" distR="114300" simplePos="0" relativeHeight="251660288" behindDoc="0" locked="0" layoutInCell="1" allowOverlap="1" wp14:anchorId="06B4EF3B" wp14:editId="5B86E496">
            <wp:simplePos x="0" y="0"/>
            <wp:positionH relativeFrom="column">
              <wp:posOffset>-323850</wp:posOffset>
            </wp:positionH>
            <wp:positionV relativeFrom="paragraph">
              <wp:posOffset>-161925</wp:posOffset>
            </wp:positionV>
            <wp:extent cx="781050" cy="1057275"/>
            <wp:effectExtent l="0" t="0" r="0" b="9525"/>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81050" cy="1057275"/>
                    </a:xfrm>
                    <a:prstGeom prst="rect">
                      <a:avLst/>
                    </a:prstGeom>
                  </pic:spPr>
                </pic:pic>
              </a:graphicData>
            </a:graphic>
          </wp:anchor>
        </w:drawing>
      </w:r>
      <w:r w:rsidRPr="00240914">
        <w:rPr>
          <w:shd w:val="clear" w:color="auto" w:fill="17365D" w:themeFill="text2" w:themeFillShade="BF"/>
        </w:rPr>
        <mc:AlternateContent>
          <mc:Choice Requires="wps">
            <w:drawing>
              <wp:anchor distT="0" distB="0" distL="114300" distR="114300" simplePos="0" relativeHeight="251659264" behindDoc="1" locked="0" layoutInCell="1" allowOverlap="1" wp14:anchorId="4FC7B0E2" wp14:editId="49C18CB1">
                <wp:simplePos x="0" y="0"/>
                <wp:positionH relativeFrom="page">
                  <wp:align>right</wp:align>
                </wp:positionH>
                <wp:positionV relativeFrom="paragraph">
                  <wp:posOffset>-142875</wp:posOffset>
                </wp:positionV>
                <wp:extent cx="7753350" cy="723900"/>
                <wp:effectExtent l="0" t="0" r="19050" b="1905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723900"/>
                        </a:xfrm>
                        <a:prstGeom prst="rect">
                          <a:avLst/>
                        </a:prstGeom>
                        <a:solidFill>
                          <a:schemeClr val="tx2">
                            <a:lumMod val="75000"/>
                            <a:lumOff val="0"/>
                          </a:schemeClr>
                        </a:solidFill>
                        <a:ln w="9525">
                          <a:solidFill>
                            <a:srgbClr val="000000"/>
                          </a:solidFill>
                          <a:miter lim="800000"/>
                          <a:headEnd/>
                          <a:tailEnd/>
                        </a:ln>
                      </wps:spPr>
                      <wps:txbx>
                        <w:txbxContent>
                          <w:p w14:paraId="7EB05247" w14:textId="77777777" w:rsidR="00E04DD6" w:rsidRDefault="00E04DD6" w:rsidP="00E04D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B0E2" id="Rectangle 4" o:spid="_x0000_s1026" alt="&quot;&quot;" style="position:absolute;left:0;text-align:left;margin-left:559.3pt;margin-top:-11.25pt;width:610.5pt;height:57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" fillcolor="#17365d [2415]">
                <v:textbox>
                  <w:txbxContent>
                    <w:p w14:paraId="7EB05247" w14:textId="77777777" w:rsidR="00E04DD6" w:rsidRDefault="00E04DD6" w:rsidP="00E04DD6">
                      <w:pPr>
                        <w:jc w:val="center"/>
                      </w:pPr>
                    </w:p>
                  </w:txbxContent>
                </v:textbox>
                <w10:wrap anchorx="page"/>
              </v:rect>
            </w:pict>
          </mc:Fallback>
        </mc:AlternateContent>
      </w:r>
      <w:r w:rsidRPr="00240914">
        <w:rPr>
          <w:shd w:val="clear" w:color="auto" w:fill="17365D" w:themeFill="text2" w:themeFillShade="BF"/>
        </w:rPr>
        <w:t>A Primer on U.S. Export Controls</w:t>
      </w:r>
    </w:p>
    <w:p w14:paraId="08AE8F6F" w14:textId="77777777" w:rsidR="00E119E8" w:rsidRDefault="00E119E8" w:rsidP="001A6C6F">
      <w:pPr>
        <w:spacing w:before="240" w:after="240"/>
        <w:ind w:left="-540" w:right="-540"/>
        <w:rPr>
          <w:rStyle w:val="Heading2Char"/>
        </w:rPr>
      </w:pPr>
    </w:p>
    <w:p w14:paraId="2BC13937" w14:textId="0D2EF28F" w:rsidR="001A6C6F" w:rsidRPr="00C5447A" w:rsidRDefault="001A6C6F" w:rsidP="00C5447A">
      <w:pPr>
        <w:spacing w:before="240" w:after="240" w:line="276" w:lineRule="auto"/>
        <w:ind w:left="-540" w:right="-540"/>
        <w:rPr>
          <w:rFonts w:ascii="Gisha" w:hAnsi="Gisha" w:cs="Gisha"/>
          <w:sz w:val="24"/>
          <w:szCs w:val="24"/>
        </w:rPr>
      </w:pPr>
      <w:r w:rsidRPr="00C5447A">
        <w:rPr>
          <w:rStyle w:val="Heading2Char"/>
        </w:rPr>
        <w:t>Export Control Regulations (ECR)</w:t>
      </w:r>
      <w:r w:rsidRPr="00C5447A">
        <w:rPr>
          <w:rFonts w:ascii="Gisha" w:hAnsi="Gisha" w:cs="Gisha"/>
          <w:sz w:val="24"/>
          <w:szCs w:val="24"/>
        </w:rPr>
        <w:t xml:space="preserve"> are a complicated body of Federal laws that govern how items, technology, and data may be exported from the </w:t>
      </w:r>
      <w:r w:rsidR="00C5447A">
        <w:rPr>
          <w:rFonts w:ascii="Gisha" w:hAnsi="Gisha" w:cs="Gisha"/>
          <w:sz w:val="24"/>
          <w:szCs w:val="24"/>
        </w:rPr>
        <w:t>United States (</w:t>
      </w:r>
      <w:r w:rsidRPr="00C5447A">
        <w:rPr>
          <w:rFonts w:ascii="Gisha" w:hAnsi="Gisha" w:cs="Gisha"/>
          <w:sz w:val="24"/>
          <w:szCs w:val="24"/>
        </w:rPr>
        <w:t>U.S.</w:t>
      </w:r>
      <w:r w:rsidR="00C5447A">
        <w:rPr>
          <w:rFonts w:ascii="Gisha" w:hAnsi="Gisha" w:cs="Gisha"/>
          <w:sz w:val="24"/>
          <w:szCs w:val="24"/>
        </w:rPr>
        <w:t>)</w:t>
      </w:r>
      <w:r w:rsidRPr="00C5447A">
        <w:rPr>
          <w:rFonts w:ascii="Gisha" w:hAnsi="Gisha" w:cs="Gisha"/>
          <w:sz w:val="24"/>
          <w:szCs w:val="24"/>
        </w:rPr>
        <w:t xml:space="preserve"> or shared with foreign persons within the U.S. The primary goals of the regulations are to protect national and economic security and advance U.S. foreign policy goals. The federal agencies and departments with primary jurisdiction are listed in </w:t>
      </w:r>
      <w:r w:rsidR="002D3C33" w:rsidRPr="00C5447A">
        <w:rPr>
          <w:rFonts w:ascii="Gisha" w:hAnsi="Gisha" w:cs="Gisha"/>
          <w:sz w:val="24"/>
          <w:szCs w:val="24"/>
        </w:rPr>
        <w:t>Table 1 below</w:t>
      </w:r>
      <w:r w:rsidRPr="00C5447A">
        <w:rPr>
          <w:rFonts w:ascii="Gisha" w:hAnsi="Gisha" w:cs="Gisha"/>
          <w:sz w:val="24"/>
          <w:szCs w:val="24"/>
        </w:rPr>
        <w:t>:</w:t>
      </w:r>
    </w:p>
    <w:p w14:paraId="0A86D3C6" w14:textId="43DB012F" w:rsidR="002D3C33" w:rsidRPr="00C5447A" w:rsidRDefault="002D3C33" w:rsidP="00C5447A">
      <w:pPr>
        <w:pStyle w:val="Caption"/>
        <w:keepNext/>
        <w:spacing w:line="276" w:lineRule="auto"/>
        <w:rPr>
          <w:sz w:val="24"/>
          <w:szCs w:val="24"/>
        </w:rPr>
      </w:pPr>
      <w:r w:rsidRPr="00C5447A">
        <w:rPr>
          <w:sz w:val="24"/>
          <w:szCs w:val="24"/>
        </w:rPr>
        <w:t xml:space="preserve">Table </w:t>
      </w:r>
      <w:r w:rsidRPr="00C5447A">
        <w:rPr>
          <w:sz w:val="24"/>
          <w:szCs w:val="24"/>
        </w:rPr>
        <w:fldChar w:fldCharType="begin"/>
      </w:r>
      <w:r w:rsidRPr="00C5447A">
        <w:rPr>
          <w:sz w:val="24"/>
          <w:szCs w:val="24"/>
        </w:rPr>
        <w:instrText xml:space="preserve"> SEQ Table \* ARABIC </w:instrText>
      </w:r>
      <w:r w:rsidRPr="00C5447A">
        <w:rPr>
          <w:sz w:val="24"/>
          <w:szCs w:val="24"/>
        </w:rPr>
        <w:fldChar w:fldCharType="separate"/>
      </w:r>
      <w:r w:rsidRPr="00C5447A">
        <w:rPr>
          <w:noProof/>
          <w:sz w:val="24"/>
          <w:szCs w:val="24"/>
        </w:rPr>
        <w:t>1</w:t>
      </w:r>
      <w:r w:rsidRPr="00C5447A">
        <w:rPr>
          <w:sz w:val="24"/>
          <w:szCs w:val="24"/>
        </w:rPr>
        <w:fldChar w:fldCharType="end"/>
      </w:r>
      <w:r w:rsidRPr="00C5447A">
        <w:rPr>
          <w:sz w:val="24"/>
          <w:szCs w:val="24"/>
        </w:rPr>
        <w:t>: Export Control Regulations</w:t>
      </w:r>
    </w:p>
    <w:tbl>
      <w:tblPr>
        <w:tblStyle w:val="TableGrid"/>
        <w:tblW w:w="10440" w:type="dxa"/>
        <w:tblInd w:w="-455" w:type="dxa"/>
        <w:tblLayout w:type="fixed"/>
        <w:tblCellMar>
          <w:left w:w="72" w:type="dxa"/>
          <w:right w:w="72" w:type="dxa"/>
        </w:tblCellMar>
        <w:tblLook w:val="0420" w:firstRow="1" w:lastRow="0" w:firstColumn="0" w:lastColumn="0" w:noHBand="0" w:noVBand="1"/>
        <w:tblCaption w:val="Export Control Regulations Table"/>
        <w:tblDescription w:val="Table showing export control regulations, the federal agency with oversight, and the area of oversight."/>
      </w:tblPr>
      <w:tblGrid>
        <w:gridCol w:w="2867"/>
        <w:gridCol w:w="2610"/>
        <w:gridCol w:w="4963"/>
      </w:tblGrid>
      <w:tr w:rsidR="001A6C6F" w:rsidRPr="00C5447A" w14:paraId="72DC3C4F" w14:textId="77777777" w:rsidTr="00487CEF">
        <w:trPr>
          <w:trHeight w:val="782"/>
          <w:tblHeader/>
        </w:trPr>
        <w:tc>
          <w:tcPr>
            <w:tcW w:w="2867" w:type="dxa"/>
            <w:shd w:val="clear" w:color="auto" w:fill="D9D9D9" w:themeFill="background1" w:themeFillShade="D9"/>
            <w:vAlign w:val="center"/>
          </w:tcPr>
          <w:p w14:paraId="2EBCCD0C" w14:textId="77777777" w:rsidR="001A6C6F" w:rsidRPr="00C5447A" w:rsidRDefault="001A6C6F" w:rsidP="00C5447A">
            <w:pPr>
              <w:spacing w:line="276" w:lineRule="auto"/>
              <w:jc w:val="center"/>
              <w:rPr>
                <w:rFonts w:ascii="Gisha" w:hAnsi="Gisha" w:cs="Gisha"/>
                <w:b/>
                <w:sz w:val="24"/>
                <w:szCs w:val="24"/>
              </w:rPr>
            </w:pPr>
            <w:r w:rsidRPr="00C5447A">
              <w:rPr>
                <w:rFonts w:ascii="Gisha" w:hAnsi="Gisha" w:cs="Gisha"/>
                <w:b/>
                <w:sz w:val="24"/>
                <w:szCs w:val="24"/>
              </w:rPr>
              <w:t>Regulations</w:t>
            </w:r>
          </w:p>
        </w:tc>
        <w:tc>
          <w:tcPr>
            <w:tcW w:w="2610" w:type="dxa"/>
            <w:shd w:val="clear" w:color="auto" w:fill="D9D9D9" w:themeFill="background1" w:themeFillShade="D9"/>
            <w:vAlign w:val="center"/>
          </w:tcPr>
          <w:p w14:paraId="1C130593" w14:textId="77777777" w:rsidR="001A6C6F" w:rsidRPr="00C5447A" w:rsidRDefault="001A6C6F" w:rsidP="00C5447A">
            <w:pPr>
              <w:spacing w:line="276" w:lineRule="auto"/>
              <w:jc w:val="center"/>
              <w:rPr>
                <w:rFonts w:ascii="Gisha" w:hAnsi="Gisha" w:cs="Gisha"/>
                <w:b/>
                <w:sz w:val="24"/>
                <w:szCs w:val="24"/>
              </w:rPr>
            </w:pPr>
            <w:r w:rsidRPr="00C5447A">
              <w:rPr>
                <w:rFonts w:ascii="Gisha" w:hAnsi="Gisha" w:cs="Gisha"/>
                <w:b/>
                <w:sz w:val="24"/>
                <w:szCs w:val="24"/>
              </w:rPr>
              <w:t>Federal Agency with Oversight</w:t>
            </w:r>
          </w:p>
        </w:tc>
        <w:tc>
          <w:tcPr>
            <w:tcW w:w="4963" w:type="dxa"/>
            <w:shd w:val="clear" w:color="auto" w:fill="D9D9D9" w:themeFill="background1" w:themeFillShade="D9"/>
            <w:vAlign w:val="center"/>
          </w:tcPr>
          <w:p w14:paraId="20C9A56E" w14:textId="77777777" w:rsidR="001A6C6F" w:rsidRPr="00C5447A" w:rsidRDefault="001A6C6F" w:rsidP="00C5447A">
            <w:pPr>
              <w:spacing w:line="276" w:lineRule="auto"/>
              <w:jc w:val="center"/>
              <w:rPr>
                <w:rFonts w:ascii="Gisha" w:hAnsi="Gisha" w:cs="Gisha"/>
                <w:b/>
                <w:sz w:val="24"/>
                <w:szCs w:val="24"/>
              </w:rPr>
            </w:pPr>
            <w:r w:rsidRPr="00C5447A">
              <w:rPr>
                <w:rFonts w:ascii="Gisha" w:hAnsi="Gisha" w:cs="Gisha"/>
                <w:b/>
                <w:sz w:val="24"/>
                <w:szCs w:val="24"/>
              </w:rPr>
              <w:t>Area of Oversight</w:t>
            </w:r>
          </w:p>
        </w:tc>
      </w:tr>
      <w:tr w:rsidR="001A6C6F" w:rsidRPr="00C5447A" w14:paraId="3B5DA32F" w14:textId="77777777" w:rsidTr="0079038F">
        <w:trPr>
          <w:trHeight w:val="890"/>
        </w:trPr>
        <w:tc>
          <w:tcPr>
            <w:tcW w:w="2867" w:type="dxa"/>
            <w:vAlign w:val="center"/>
            <w:hideMark/>
          </w:tcPr>
          <w:p w14:paraId="06028A41" w14:textId="77777777" w:rsidR="001A6C6F" w:rsidRPr="00C5447A" w:rsidRDefault="001A6C6F" w:rsidP="00C5447A">
            <w:pPr>
              <w:spacing w:line="276" w:lineRule="auto"/>
              <w:rPr>
                <w:rFonts w:ascii="Gisha" w:hAnsi="Gisha" w:cs="Gisha"/>
                <w:sz w:val="24"/>
                <w:szCs w:val="24"/>
              </w:rPr>
            </w:pPr>
            <w:r w:rsidRPr="00C5447A">
              <w:rPr>
                <w:rFonts w:ascii="Gisha" w:hAnsi="Gisha" w:cs="Gisha"/>
                <w:b/>
                <w:sz w:val="24"/>
                <w:szCs w:val="24"/>
              </w:rPr>
              <w:t>ITAR</w:t>
            </w:r>
            <w:r w:rsidRPr="00C5447A">
              <w:rPr>
                <w:rFonts w:ascii="Gisha" w:hAnsi="Gisha" w:cs="Gisha"/>
                <w:sz w:val="24"/>
                <w:szCs w:val="24"/>
              </w:rPr>
              <w:t xml:space="preserve"> -</w:t>
            </w:r>
            <w:r w:rsidRPr="00C5447A">
              <w:rPr>
                <w:rFonts w:ascii="Gisha" w:hAnsi="Gisha" w:cs="Gisha"/>
                <w:i/>
                <w:iCs/>
                <w:sz w:val="24"/>
                <w:szCs w:val="24"/>
              </w:rPr>
              <w:t>International Traffic in Arms Regulations</w:t>
            </w:r>
          </w:p>
        </w:tc>
        <w:tc>
          <w:tcPr>
            <w:tcW w:w="2610" w:type="dxa"/>
            <w:vAlign w:val="center"/>
            <w:hideMark/>
          </w:tcPr>
          <w:p w14:paraId="2A7E944A"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Department of State, Directorate of Defense Trade Controls (DDTC)</w:t>
            </w:r>
          </w:p>
        </w:tc>
        <w:tc>
          <w:tcPr>
            <w:tcW w:w="4963" w:type="dxa"/>
            <w:vAlign w:val="center"/>
            <w:hideMark/>
          </w:tcPr>
          <w:p w14:paraId="550BA8F5"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 xml:space="preserve">Technologies with </w:t>
            </w:r>
            <w:r w:rsidRPr="00C5447A">
              <w:rPr>
                <w:rFonts w:ascii="Gisha" w:hAnsi="Gisha" w:cs="Gisha"/>
                <w:b/>
                <w:sz w:val="24"/>
                <w:szCs w:val="24"/>
              </w:rPr>
              <w:t>inherently military</w:t>
            </w:r>
            <w:r w:rsidRPr="00C5447A">
              <w:rPr>
                <w:rFonts w:ascii="Gisha" w:hAnsi="Gisha" w:cs="Gisha"/>
                <w:sz w:val="24"/>
                <w:szCs w:val="24"/>
              </w:rPr>
              <w:t xml:space="preserve"> properties</w:t>
            </w:r>
          </w:p>
        </w:tc>
      </w:tr>
      <w:tr w:rsidR="001A6C6F" w:rsidRPr="00C5447A" w14:paraId="19F117F7" w14:textId="77777777" w:rsidTr="0079038F">
        <w:trPr>
          <w:trHeight w:val="863"/>
        </w:trPr>
        <w:tc>
          <w:tcPr>
            <w:tcW w:w="2867" w:type="dxa"/>
            <w:vAlign w:val="center"/>
            <w:hideMark/>
          </w:tcPr>
          <w:p w14:paraId="124A164C" w14:textId="77777777" w:rsidR="001A6C6F" w:rsidRPr="00C5447A" w:rsidRDefault="001A6C6F" w:rsidP="00C5447A">
            <w:pPr>
              <w:spacing w:line="276" w:lineRule="auto"/>
              <w:rPr>
                <w:rFonts w:ascii="Gisha" w:hAnsi="Gisha" w:cs="Gisha"/>
                <w:sz w:val="24"/>
                <w:szCs w:val="24"/>
              </w:rPr>
            </w:pPr>
            <w:r w:rsidRPr="00C5447A">
              <w:rPr>
                <w:rFonts w:ascii="Gisha" w:hAnsi="Gisha" w:cs="Gisha"/>
                <w:b/>
                <w:sz w:val="24"/>
                <w:szCs w:val="24"/>
              </w:rPr>
              <w:t>EAR</w:t>
            </w:r>
            <w:r w:rsidRPr="00C5447A">
              <w:rPr>
                <w:rFonts w:ascii="Gisha" w:hAnsi="Gisha" w:cs="Gisha"/>
                <w:sz w:val="24"/>
                <w:szCs w:val="24"/>
              </w:rPr>
              <w:t xml:space="preserve"> - </w:t>
            </w:r>
            <w:r w:rsidRPr="00C5447A">
              <w:rPr>
                <w:rFonts w:ascii="Gisha" w:hAnsi="Gisha" w:cs="Gisha"/>
                <w:i/>
                <w:iCs/>
                <w:sz w:val="24"/>
                <w:szCs w:val="24"/>
              </w:rPr>
              <w:t xml:space="preserve">Export Administration Regulations </w:t>
            </w:r>
          </w:p>
        </w:tc>
        <w:tc>
          <w:tcPr>
            <w:tcW w:w="2610" w:type="dxa"/>
            <w:vAlign w:val="center"/>
            <w:hideMark/>
          </w:tcPr>
          <w:p w14:paraId="3F461B61"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Department of Commerce, Bureau of Industry &amp; Security (BIS)</w:t>
            </w:r>
          </w:p>
        </w:tc>
        <w:tc>
          <w:tcPr>
            <w:tcW w:w="4963" w:type="dxa"/>
            <w:vAlign w:val="center"/>
            <w:hideMark/>
          </w:tcPr>
          <w:p w14:paraId="7F9533CC"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Technologies with both commercial and military applications, most commercial items, and certain military items not controlled under the ITAR</w:t>
            </w:r>
          </w:p>
        </w:tc>
      </w:tr>
      <w:tr w:rsidR="001A6C6F" w:rsidRPr="00C5447A" w14:paraId="2D565493" w14:textId="77777777" w:rsidTr="0079038F">
        <w:trPr>
          <w:trHeight w:val="647"/>
        </w:trPr>
        <w:tc>
          <w:tcPr>
            <w:tcW w:w="2867" w:type="dxa"/>
            <w:vAlign w:val="center"/>
            <w:hideMark/>
          </w:tcPr>
          <w:p w14:paraId="51312623" w14:textId="77777777" w:rsidR="001A6C6F" w:rsidRPr="00C5447A" w:rsidRDefault="001A6C6F" w:rsidP="00C5447A">
            <w:pPr>
              <w:spacing w:line="276" w:lineRule="auto"/>
              <w:rPr>
                <w:rFonts w:ascii="Gisha" w:hAnsi="Gisha" w:cs="Gisha"/>
                <w:sz w:val="24"/>
                <w:szCs w:val="24"/>
              </w:rPr>
            </w:pPr>
            <w:r w:rsidRPr="00C5447A">
              <w:rPr>
                <w:rFonts w:ascii="Gisha" w:hAnsi="Gisha" w:cs="Gisha"/>
                <w:b/>
                <w:sz w:val="24"/>
                <w:szCs w:val="24"/>
              </w:rPr>
              <w:t>OFAC</w:t>
            </w:r>
            <w:r w:rsidRPr="00C5447A">
              <w:rPr>
                <w:rFonts w:ascii="Gisha" w:hAnsi="Gisha" w:cs="Gisha"/>
                <w:sz w:val="24"/>
                <w:szCs w:val="24"/>
              </w:rPr>
              <w:t>-</w:t>
            </w:r>
            <w:r w:rsidRPr="00C5447A">
              <w:rPr>
                <w:rFonts w:ascii="Gisha" w:hAnsi="Gisha" w:cs="Gisha"/>
                <w:i/>
                <w:iCs/>
                <w:sz w:val="24"/>
                <w:szCs w:val="24"/>
              </w:rPr>
              <w:t>Office of Foreign Assets Control</w:t>
            </w:r>
          </w:p>
        </w:tc>
        <w:tc>
          <w:tcPr>
            <w:tcW w:w="2610" w:type="dxa"/>
            <w:vAlign w:val="center"/>
            <w:hideMark/>
          </w:tcPr>
          <w:p w14:paraId="6590EA86"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Department of the Treasury, OFAC</w:t>
            </w:r>
          </w:p>
        </w:tc>
        <w:tc>
          <w:tcPr>
            <w:tcW w:w="4963" w:type="dxa"/>
            <w:vAlign w:val="center"/>
            <w:hideMark/>
          </w:tcPr>
          <w:p w14:paraId="03820068" w14:textId="77777777" w:rsidR="001A6C6F" w:rsidRPr="00C5447A" w:rsidRDefault="001A6C6F" w:rsidP="00C5447A">
            <w:pPr>
              <w:spacing w:line="276" w:lineRule="auto"/>
              <w:rPr>
                <w:rFonts w:ascii="Gisha" w:hAnsi="Gisha" w:cs="Gisha"/>
                <w:sz w:val="24"/>
                <w:szCs w:val="24"/>
              </w:rPr>
            </w:pPr>
            <w:r w:rsidRPr="00C5447A">
              <w:rPr>
                <w:rFonts w:ascii="Gisha" w:hAnsi="Gisha" w:cs="Gisha"/>
                <w:sz w:val="24"/>
                <w:szCs w:val="24"/>
              </w:rPr>
              <w:t xml:space="preserve">Prohibits transactions of value with </w:t>
            </w:r>
            <w:r w:rsidRPr="00C5447A">
              <w:rPr>
                <w:rFonts w:ascii="Gisha" w:hAnsi="Gisha" w:cs="Gisha"/>
                <w:b/>
                <w:sz w:val="24"/>
                <w:szCs w:val="24"/>
              </w:rPr>
              <w:t>certain countries</w:t>
            </w:r>
            <w:r w:rsidRPr="00C5447A">
              <w:rPr>
                <w:rFonts w:ascii="Gisha" w:hAnsi="Gisha" w:cs="Gisha"/>
                <w:sz w:val="24"/>
                <w:szCs w:val="24"/>
              </w:rPr>
              <w:t xml:space="preserve"> and individuals</w:t>
            </w:r>
          </w:p>
        </w:tc>
      </w:tr>
    </w:tbl>
    <w:p w14:paraId="63F7471E" w14:textId="77777777" w:rsidR="001A6C6F" w:rsidRPr="00C5447A" w:rsidRDefault="001A6C6F" w:rsidP="00C5447A">
      <w:pPr>
        <w:spacing w:line="276" w:lineRule="auto"/>
        <w:rPr>
          <w:rFonts w:ascii="Gisha" w:hAnsi="Gisha" w:cs="Gisha"/>
          <w:sz w:val="24"/>
          <w:szCs w:val="24"/>
        </w:rPr>
      </w:pPr>
    </w:p>
    <w:p w14:paraId="20704130" w14:textId="77777777" w:rsidR="00F23B17" w:rsidRPr="00C5447A" w:rsidRDefault="00F23B17" w:rsidP="00C5447A">
      <w:pPr>
        <w:pStyle w:val="Heading2"/>
        <w:spacing w:line="276" w:lineRule="auto"/>
      </w:pPr>
      <w:r w:rsidRPr="00C5447A">
        <w:t>What University activities may raise export control issues?</w:t>
      </w:r>
    </w:p>
    <w:p w14:paraId="0D818883" w14:textId="77777777" w:rsidR="00F23B17"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 xml:space="preserve">International travel, </w:t>
      </w:r>
      <w:proofErr w:type="gramStart"/>
      <w:r w:rsidR="00F23B17" w:rsidRPr="00C5447A">
        <w:rPr>
          <w:rFonts w:ascii="Gisha" w:hAnsi="Gisha" w:cs="Gisha"/>
          <w:sz w:val="24"/>
          <w:szCs w:val="24"/>
        </w:rPr>
        <w:t>fieldwork</w:t>
      </w:r>
      <w:proofErr w:type="gramEnd"/>
      <w:r w:rsidRPr="00C5447A">
        <w:rPr>
          <w:rFonts w:ascii="Gisha" w:hAnsi="Gisha" w:cs="Gisha"/>
          <w:sz w:val="24"/>
          <w:szCs w:val="24"/>
        </w:rPr>
        <w:t xml:space="preserve"> and conferences</w:t>
      </w:r>
    </w:p>
    <w:p w14:paraId="3D5EB44D" w14:textId="77777777" w:rsidR="007062EA" w:rsidRPr="00C5447A" w:rsidRDefault="007062EA" w:rsidP="00C5447A">
      <w:pPr>
        <w:pStyle w:val="ListParagraph"/>
        <w:numPr>
          <w:ilvl w:val="1"/>
          <w:numId w:val="5"/>
        </w:numPr>
        <w:spacing w:after="160" w:line="276" w:lineRule="auto"/>
        <w:rPr>
          <w:rFonts w:ascii="Gisha" w:hAnsi="Gisha" w:cs="Gisha"/>
          <w:sz w:val="24"/>
          <w:szCs w:val="24"/>
        </w:rPr>
      </w:pPr>
      <w:r w:rsidRPr="00C5447A">
        <w:rPr>
          <w:rFonts w:ascii="Gisha" w:hAnsi="Gisha" w:cs="Gisha"/>
          <w:sz w:val="24"/>
          <w:szCs w:val="24"/>
        </w:rPr>
        <w:t>Particularly when traveling with high tech equipment, confidential, unpublished, or proprietary data</w:t>
      </w:r>
    </w:p>
    <w:p w14:paraId="7537B5FA" w14:textId="77777777" w:rsidR="00F23B17" w:rsidRPr="00C5447A" w:rsidRDefault="00F23B17"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International shipping</w:t>
      </w:r>
      <w:r w:rsidR="003840A0" w:rsidRPr="00C5447A">
        <w:rPr>
          <w:rFonts w:ascii="Gisha" w:hAnsi="Gisha" w:cs="Gisha"/>
          <w:sz w:val="24"/>
          <w:szCs w:val="24"/>
        </w:rPr>
        <w:t xml:space="preserve"> (including hand-carrying equipment)</w:t>
      </w:r>
    </w:p>
    <w:p w14:paraId="754D2703" w14:textId="77777777" w:rsidR="007062EA"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International financial transactions</w:t>
      </w:r>
    </w:p>
    <w:p w14:paraId="2BDE8D36" w14:textId="77777777" w:rsidR="007062EA"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Hosting a foreign visitor/scholar</w:t>
      </w:r>
    </w:p>
    <w:p w14:paraId="13DC127B" w14:textId="77777777" w:rsidR="007062EA"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Foreign national participation in research activities</w:t>
      </w:r>
    </w:p>
    <w:p w14:paraId="7CBDC58F" w14:textId="77777777" w:rsidR="007062EA"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International collaboration</w:t>
      </w:r>
    </w:p>
    <w:p w14:paraId="1750E6BA" w14:textId="77777777" w:rsidR="00F23B17" w:rsidRPr="00C5447A" w:rsidRDefault="00F23B17"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Using 3</w:t>
      </w:r>
      <w:r w:rsidRPr="00C5447A">
        <w:rPr>
          <w:rFonts w:ascii="Gisha" w:hAnsi="Gisha" w:cs="Gisha"/>
          <w:sz w:val="24"/>
          <w:szCs w:val="24"/>
          <w:vertAlign w:val="superscript"/>
        </w:rPr>
        <w:t>rd</w:t>
      </w:r>
      <w:r w:rsidRPr="00C5447A">
        <w:rPr>
          <w:rFonts w:ascii="Gisha" w:hAnsi="Gisha" w:cs="Gisha"/>
          <w:sz w:val="24"/>
          <w:szCs w:val="24"/>
        </w:rPr>
        <w:t xml:space="preserve"> party </w:t>
      </w:r>
      <w:proofErr w:type="gramStart"/>
      <w:r w:rsidRPr="00C5447A">
        <w:rPr>
          <w:rFonts w:ascii="Gisha" w:hAnsi="Gisha" w:cs="Gisha"/>
          <w:sz w:val="24"/>
          <w:szCs w:val="24"/>
        </w:rPr>
        <w:t>export controlled</w:t>
      </w:r>
      <w:proofErr w:type="gramEnd"/>
      <w:r w:rsidRPr="00C5447A">
        <w:rPr>
          <w:rFonts w:ascii="Gisha" w:hAnsi="Gisha" w:cs="Gisha"/>
          <w:sz w:val="24"/>
          <w:szCs w:val="24"/>
        </w:rPr>
        <w:t xml:space="preserve"> technology or information</w:t>
      </w:r>
    </w:p>
    <w:p w14:paraId="15B03714" w14:textId="77777777" w:rsidR="00F23B17" w:rsidRPr="00C5447A" w:rsidRDefault="00F23B17"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 xml:space="preserve">Sponsored research containing contractual restrictions on publications or </w:t>
      </w:r>
      <w:proofErr w:type="gramStart"/>
      <w:r w:rsidRPr="00C5447A">
        <w:rPr>
          <w:rFonts w:ascii="Gisha" w:hAnsi="Gisha" w:cs="Gisha"/>
          <w:sz w:val="24"/>
          <w:szCs w:val="24"/>
        </w:rPr>
        <w:t>dissemination</w:t>
      </w:r>
      <w:proofErr w:type="gramEnd"/>
      <w:r w:rsidRPr="00C5447A">
        <w:rPr>
          <w:rFonts w:ascii="Gisha" w:hAnsi="Gisha" w:cs="Gisha"/>
          <w:sz w:val="24"/>
          <w:szCs w:val="24"/>
        </w:rPr>
        <w:t xml:space="preserve"> </w:t>
      </w:r>
    </w:p>
    <w:p w14:paraId="243DB503" w14:textId="77777777" w:rsidR="007062EA" w:rsidRPr="00C5447A" w:rsidRDefault="007062EA" w:rsidP="00C5447A">
      <w:pPr>
        <w:pStyle w:val="ListParagraph"/>
        <w:numPr>
          <w:ilvl w:val="0"/>
          <w:numId w:val="5"/>
        </w:numPr>
        <w:spacing w:after="160" w:line="276" w:lineRule="auto"/>
        <w:ind w:left="270"/>
        <w:rPr>
          <w:rFonts w:ascii="Gisha" w:hAnsi="Gisha" w:cs="Gisha"/>
          <w:sz w:val="24"/>
          <w:szCs w:val="24"/>
        </w:rPr>
      </w:pPr>
      <w:r w:rsidRPr="00C5447A">
        <w:rPr>
          <w:rFonts w:ascii="Gisha" w:hAnsi="Gisha" w:cs="Gisha"/>
          <w:sz w:val="24"/>
          <w:szCs w:val="24"/>
        </w:rPr>
        <w:t>Teaching courses abroad or online</w:t>
      </w:r>
    </w:p>
    <w:p w14:paraId="6E55F726" w14:textId="77777777" w:rsidR="00F23B17" w:rsidRPr="00C5447A" w:rsidRDefault="00F23B17" w:rsidP="00C5447A">
      <w:pPr>
        <w:pStyle w:val="Heading2"/>
        <w:spacing w:line="276" w:lineRule="auto"/>
      </w:pPr>
      <w:r w:rsidRPr="00C5447A">
        <w:t>Why comply?</w:t>
      </w:r>
    </w:p>
    <w:p w14:paraId="72F75C72" w14:textId="13624909" w:rsidR="00F23B17" w:rsidRPr="00C5447A" w:rsidRDefault="00F23B17" w:rsidP="00C5447A">
      <w:pPr>
        <w:spacing w:after="120" w:line="276" w:lineRule="auto"/>
        <w:ind w:left="-540"/>
        <w:rPr>
          <w:rFonts w:ascii="Gisha" w:hAnsi="Gisha" w:cs="Gisha"/>
          <w:sz w:val="24"/>
          <w:szCs w:val="24"/>
        </w:rPr>
      </w:pPr>
      <w:r w:rsidRPr="00C5447A">
        <w:rPr>
          <w:rFonts w:ascii="Gisha" w:hAnsi="Gisha" w:cs="Gisha"/>
          <w:sz w:val="24"/>
          <w:szCs w:val="24"/>
        </w:rPr>
        <w:t>Individuals as well as the University/</w:t>
      </w:r>
      <w:r w:rsidR="002E3FA7">
        <w:rPr>
          <w:rFonts w:ascii="Gisha" w:hAnsi="Gisha" w:cs="Gisha"/>
          <w:sz w:val="24"/>
          <w:szCs w:val="24"/>
        </w:rPr>
        <w:t>University of Maine System (</w:t>
      </w:r>
      <w:r w:rsidRPr="00C5447A">
        <w:rPr>
          <w:rFonts w:ascii="Gisha" w:hAnsi="Gisha" w:cs="Gisha"/>
          <w:sz w:val="24"/>
          <w:szCs w:val="24"/>
        </w:rPr>
        <w:t>UMS</w:t>
      </w:r>
      <w:r w:rsidR="002E3FA7">
        <w:rPr>
          <w:rFonts w:ascii="Gisha" w:hAnsi="Gisha" w:cs="Gisha"/>
          <w:sz w:val="24"/>
          <w:szCs w:val="24"/>
        </w:rPr>
        <w:t>)</w:t>
      </w:r>
      <w:r w:rsidRPr="00C5447A">
        <w:rPr>
          <w:rFonts w:ascii="Gisha" w:hAnsi="Gisha" w:cs="Gisha"/>
          <w:sz w:val="24"/>
          <w:szCs w:val="24"/>
        </w:rPr>
        <w:t xml:space="preserve"> can be prosecuted for violating export controls. The penalties for violating export control regulations can include:</w:t>
      </w:r>
    </w:p>
    <w:p w14:paraId="16A27422" w14:textId="77777777" w:rsidR="00F23B17" w:rsidRPr="00C5447A" w:rsidRDefault="00F23B17" w:rsidP="00C5447A">
      <w:pPr>
        <w:pStyle w:val="ListParagraph"/>
        <w:numPr>
          <w:ilvl w:val="0"/>
          <w:numId w:val="4"/>
        </w:numPr>
        <w:spacing w:after="160" w:line="276" w:lineRule="auto"/>
        <w:ind w:left="270"/>
        <w:rPr>
          <w:rFonts w:ascii="Gisha" w:hAnsi="Gisha" w:cs="Gisha"/>
          <w:sz w:val="24"/>
          <w:szCs w:val="24"/>
        </w:rPr>
      </w:pPr>
      <w:r w:rsidRPr="00C5447A">
        <w:rPr>
          <w:rFonts w:ascii="Gisha" w:hAnsi="Gisha" w:cs="Gisha"/>
          <w:sz w:val="24"/>
          <w:szCs w:val="24"/>
        </w:rPr>
        <w:t>High fines (up to $1,000,000 per violation)</w:t>
      </w:r>
    </w:p>
    <w:p w14:paraId="714DF36C" w14:textId="77777777" w:rsidR="00F23B17" w:rsidRPr="00C5447A" w:rsidRDefault="00F23B17" w:rsidP="00C5447A">
      <w:pPr>
        <w:pStyle w:val="ListParagraph"/>
        <w:numPr>
          <w:ilvl w:val="0"/>
          <w:numId w:val="4"/>
        </w:numPr>
        <w:spacing w:after="160" w:line="276" w:lineRule="auto"/>
        <w:ind w:left="270"/>
        <w:rPr>
          <w:rFonts w:ascii="Gisha" w:hAnsi="Gisha" w:cs="Gisha"/>
          <w:sz w:val="24"/>
          <w:szCs w:val="24"/>
        </w:rPr>
      </w:pPr>
      <w:r w:rsidRPr="00C5447A">
        <w:rPr>
          <w:rFonts w:ascii="Gisha" w:hAnsi="Gisha" w:cs="Gisha"/>
          <w:sz w:val="24"/>
          <w:szCs w:val="24"/>
        </w:rPr>
        <w:t xml:space="preserve">Loss of import/export privileges </w:t>
      </w:r>
    </w:p>
    <w:p w14:paraId="5680637B" w14:textId="77777777" w:rsidR="00F23B17" w:rsidRPr="00C5447A" w:rsidRDefault="00F23B17" w:rsidP="00C5447A">
      <w:pPr>
        <w:pStyle w:val="ListParagraph"/>
        <w:numPr>
          <w:ilvl w:val="0"/>
          <w:numId w:val="4"/>
        </w:numPr>
        <w:spacing w:after="160" w:line="276" w:lineRule="auto"/>
        <w:ind w:left="270"/>
        <w:rPr>
          <w:rFonts w:ascii="Gisha" w:hAnsi="Gisha" w:cs="Gisha"/>
          <w:sz w:val="24"/>
          <w:szCs w:val="24"/>
        </w:rPr>
      </w:pPr>
      <w:r w:rsidRPr="00C5447A">
        <w:rPr>
          <w:rFonts w:ascii="Gisha" w:hAnsi="Gisha" w:cs="Gisha"/>
          <w:sz w:val="24"/>
          <w:szCs w:val="24"/>
        </w:rPr>
        <w:t xml:space="preserve">Debarment or suspension from government </w:t>
      </w:r>
      <w:proofErr w:type="gramStart"/>
      <w:r w:rsidRPr="00C5447A">
        <w:rPr>
          <w:rFonts w:ascii="Gisha" w:hAnsi="Gisha" w:cs="Gisha"/>
          <w:sz w:val="24"/>
          <w:szCs w:val="24"/>
        </w:rPr>
        <w:t>contracting</w:t>
      </w:r>
      <w:proofErr w:type="gramEnd"/>
    </w:p>
    <w:p w14:paraId="1675393B" w14:textId="77777777" w:rsidR="00F23B17" w:rsidRPr="00C5447A" w:rsidRDefault="00F23B17" w:rsidP="00C5447A">
      <w:pPr>
        <w:pStyle w:val="ListParagraph"/>
        <w:numPr>
          <w:ilvl w:val="0"/>
          <w:numId w:val="4"/>
        </w:numPr>
        <w:spacing w:after="160" w:line="276" w:lineRule="auto"/>
        <w:ind w:left="270"/>
        <w:rPr>
          <w:rFonts w:ascii="Gisha" w:hAnsi="Gisha" w:cs="Gisha"/>
          <w:sz w:val="24"/>
          <w:szCs w:val="24"/>
        </w:rPr>
      </w:pPr>
      <w:r w:rsidRPr="00C5447A">
        <w:rPr>
          <w:rFonts w:ascii="Gisha" w:hAnsi="Gisha" w:cs="Gisha"/>
          <w:sz w:val="24"/>
          <w:szCs w:val="24"/>
        </w:rPr>
        <w:t xml:space="preserve">Seizure of items being </w:t>
      </w:r>
      <w:proofErr w:type="gramStart"/>
      <w:r w:rsidRPr="00C5447A">
        <w:rPr>
          <w:rFonts w:ascii="Gisha" w:hAnsi="Gisha" w:cs="Gisha"/>
          <w:sz w:val="24"/>
          <w:szCs w:val="24"/>
        </w:rPr>
        <w:t>shipped</w:t>
      </w:r>
      <w:proofErr w:type="gramEnd"/>
    </w:p>
    <w:p w14:paraId="2A215437" w14:textId="77777777" w:rsidR="00F23B17" w:rsidRPr="00C5447A" w:rsidRDefault="00F23B17" w:rsidP="00C5447A">
      <w:pPr>
        <w:pStyle w:val="ListParagraph"/>
        <w:numPr>
          <w:ilvl w:val="0"/>
          <w:numId w:val="4"/>
        </w:numPr>
        <w:spacing w:after="160" w:line="276" w:lineRule="auto"/>
        <w:ind w:left="270"/>
        <w:rPr>
          <w:rFonts w:ascii="Gisha" w:hAnsi="Gisha" w:cs="Gisha"/>
          <w:sz w:val="24"/>
          <w:szCs w:val="24"/>
        </w:rPr>
      </w:pPr>
      <w:r w:rsidRPr="00C5447A">
        <w:rPr>
          <w:rFonts w:ascii="Gisha" w:hAnsi="Gisha" w:cs="Gisha"/>
          <w:sz w:val="24"/>
          <w:szCs w:val="24"/>
        </w:rPr>
        <w:t>Imprisonment up to 10 years</w:t>
      </w:r>
    </w:p>
    <w:p w14:paraId="5BA89C45" w14:textId="77777777" w:rsidR="00F23B17" w:rsidRPr="00C5447A" w:rsidRDefault="00F23B17" w:rsidP="00C5447A">
      <w:pPr>
        <w:pStyle w:val="Heading2"/>
        <w:spacing w:line="276" w:lineRule="auto"/>
      </w:pPr>
      <w:r w:rsidRPr="00C5447A">
        <w:t>Investigator Responsibilities</w:t>
      </w:r>
    </w:p>
    <w:p w14:paraId="6E7FD82F" w14:textId="7EC14D56" w:rsidR="00F23B17" w:rsidRPr="00C5447A" w:rsidRDefault="00F23B17" w:rsidP="00C5447A">
      <w:pPr>
        <w:spacing w:line="276" w:lineRule="auto"/>
        <w:ind w:left="-540"/>
        <w:rPr>
          <w:rFonts w:ascii="Gisha" w:hAnsi="Gisha" w:cs="Gisha"/>
          <w:sz w:val="24"/>
          <w:szCs w:val="24"/>
        </w:rPr>
      </w:pPr>
      <w:r w:rsidRPr="00C5447A">
        <w:rPr>
          <w:rFonts w:ascii="Gisha" w:hAnsi="Gisha" w:cs="Gisha"/>
          <w:sz w:val="24"/>
          <w:szCs w:val="24"/>
        </w:rPr>
        <w:t xml:space="preserve">At a minimum, </w:t>
      </w:r>
      <w:r w:rsidR="00516EA4">
        <w:rPr>
          <w:rFonts w:ascii="Gisha" w:hAnsi="Gisha" w:cs="Gisha"/>
          <w:sz w:val="24"/>
          <w:szCs w:val="24"/>
        </w:rPr>
        <w:t>Principal Investigators (</w:t>
      </w:r>
      <w:r w:rsidRPr="00C5447A">
        <w:rPr>
          <w:rFonts w:ascii="Gisha" w:hAnsi="Gisha" w:cs="Gisha"/>
          <w:sz w:val="24"/>
          <w:szCs w:val="24"/>
        </w:rPr>
        <w:t>PIs</w:t>
      </w:r>
      <w:r w:rsidR="00516EA4">
        <w:rPr>
          <w:rFonts w:ascii="Gisha" w:hAnsi="Gisha" w:cs="Gisha"/>
          <w:sz w:val="24"/>
          <w:szCs w:val="24"/>
        </w:rPr>
        <w:t>)</w:t>
      </w:r>
      <w:r w:rsidRPr="00C5447A">
        <w:rPr>
          <w:rFonts w:ascii="Gisha" w:hAnsi="Gisha" w:cs="Gisha"/>
          <w:sz w:val="24"/>
          <w:szCs w:val="24"/>
        </w:rPr>
        <w:t xml:space="preserve"> must be able to recognize that an export control issue might exist and know who to contact for assistance with export compliance. More information about export controls, including access to training can be found </w:t>
      </w:r>
      <w:r w:rsidR="007657F6" w:rsidRPr="00C5447A">
        <w:rPr>
          <w:rFonts w:ascii="Gisha" w:hAnsi="Gisha" w:cs="Gisha"/>
          <w:sz w:val="24"/>
          <w:szCs w:val="24"/>
        </w:rPr>
        <w:t xml:space="preserve">at </w:t>
      </w:r>
      <w:hyperlink r:id="rId9" w:history="1">
        <w:r w:rsidR="007657F6" w:rsidRPr="00C5447A">
          <w:rPr>
            <w:rStyle w:val="Hyperlink"/>
            <w:rFonts w:ascii="Gisha" w:hAnsi="Gisha" w:cs="Gisha"/>
            <w:sz w:val="24"/>
            <w:szCs w:val="24"/>
          </w:rPr>
          <w:t xml:space="preserve">Export Control on the </w:t>
        </w:r>
        <w:r w:rsidR="00457DB5">
          <w:rPr>
            <w:rStyle w:val="Hyperlink"/>
            <w:rFonts w:ascii="Gisha" w:hAnsi="Gisha" w:cs="Gisha"/>
            <w:sz w:val="24"/>
            <w:szCs w:val="24"/>
          </w:rPr>
          <w:t>Office of Research Compliance (</w:t>
        </w:r>
        <w:r w:rsidR="007657F6" w:rsidRPr="00C5447A">
          <w:rPr>
            <w:rStyle w:val="Hyperlink"/>
            <w:rFonts w:ascii="Gisha" w:hAnsi="Gisha" w:cs="Gisha"/>
            <w:sz w:val="24"/>
            <w:szCs w:val="24"/>
          </w:rPr>
          <w:t>ORC</w:t>
        </w:r>
        <w:r w:rsidR="00457DB5">
          <w:rPr>
            <w:rStyle w:val="Hyperlink"/>
            <w:rFonts w:ascii="Gisha" w:hAnsi="Gisha" w:cs="Gisha"/>
            <w:sz w:val="24"/>
            <w:szCs w:val="24"/>
          </w:rPr>
          <w:t>)</w:t>
        </w:r>
        <w:r w:rsidR="007657F6" w:rsidRPr="00C5447A">
          <w:rPr>
            <w:rStyle w:val="Hyperlink"/>
            <w:rFonts w:ascii="Gisha" w:hAnsi="Gisha" w:cs="Gisha"/>
            <w:sz w:val="24"/>
            <w:szCs w:val="24"/>
          </w:rPr>
          <w:t xml:space="preserve"> website</w:t>
        </w:r>
      </w:hyperlink>
      <w:r w:rsidR="007657F6" w:rsidRPr="00C5447A">
        <w:rPr>
          <w:rFonts w:ascii="Gisha" w:hAnsi="Gisha" w:cs="Gisha"/>
          <w:sz w:val="24"/>
          <w:szCs w:val="24"/>
        </w:rPr>
        <w:t>.</w:t>
      </w:r>
    </w:p>
    <w:p w14:paraId="39956A1A" w14:textId="77777777" w:rsidR="000C6955" w:rsidRPr="00C5447A" w:rsidRDefault="000C6955" w:rsidP="00C5447A">
      <w:pPr>
        <w:spacing w:line="276" w:lineRule="auto"/>
        <w:ind w:left="-540"/>
        <w:rPr>
          <w:rFonts w:ascii="Gisha" w:hAnsi="Gisha" w:cs="Gisha"/>
          <w:sz w:val="24"/>
          <w:szCs w:val="24"/>
        </w:rPr>
      </w:pPr>
    </w:p>
    <w:p w14:paraId="341437FF" w14:textId="79F5B2CB" w:rsidR="008B4379" w:rsidRPr="00C5447A" w:rsidRDefault="00F23B17" w:rsidP="00C5447A">
      <w:pPr>
        <w:spacing w:line="276" w:lineRule="auto"/>
        <w:ind w:left="-540"/>
        <w:rPr>
          <w:rFonts w:ascii="Gisha" w:hAnsi="Gisha" w:cs="Gisha"/>
          <w:sz w:val="24"/>
          <w:szCs w:val="24"/>
        </w:rPr>
      </w:pPr>
      <w:r w:rsidRPr="00C5447A">
        <w:rPr>
          <w:rFonts w:ascii="Gisha" w:hAnsi="Gisha" w:cs="Gisha"/>
          <w:sz w:val="24"/>
          <w:szCs w:val="24"/>
        </w:rPr>
        <w:t xml:space="preserve">Questions may be directed to Amanda Ashe, </w:t>
      </w:r>
      <w:r w:rsidR="003840A0" w:rsidRPr="00C5447A">
        <w:rPr>
          <w:rFonts w:ascii="Gisha" w:hAnsi="Gisha" w:cs="Gisha"/>
          <w:sz w:val="24"/>
          <w:szCs w:val="24"/>
        </w:rPr>
        <w:t>Director of Research Compliance</w:t>
      </w:r>
      <w:r w:rsidRPr="00C5447A">
        <w:rPr>
          <w:rFonts w:ascii="Gisha" w:hAnsi="Gisha" w:cs="Gisha"/>
          <w:sz w:val="24"/>
          <w:szCs w:val="24"/>
        </w:rPr>
        <w:t xml:space="preserve">, Office of Research </w:t>
      </w:r>
      <w:r w:rsidR="00320A78" w:rsidRPr="00C5447A">
        <w:rPr>
          <w:rFonts w:ascii="Gisha" w:hAnsi="Gisha" w:cs="Gisha"/>
          <w:sz w:val="24"/>
          <w:szCs w:val="24"/>
        </w:rPr>
        <w:t>Compliance</w:t>
      </w:r>
      <w:r w:rsidRPr="00C5447A">
        <w:rPr>
          <w:rFonts w:ascii="Gisha" w:hAnsi="Gisha" w:cs="Gisha"/>
          <w:sz w:val="24"/>
          <w:szCs w:val="24"/>
        </w:rPr>
        <w:t xml:space="preserve"> at</w:t>
      </w:r>
      <w:r w:rsidR="006F7989" w:rsidRPr="00C5447A">
        <w:rPr>
          <w:rFonts w:ascii="Gisha" w:hAnsi="Gisha" w:cs="Gisha"/>
          <w:sz w:val="24"/>
          <w:szCs w:val="24"/>
        </w:rPr>
        <w:t xml:space="preserve"> </w:t>
      </w:r>
      <w:hyperlink r:id="rId10" w:history="1">
        <w:r w:rsidR="00937338" w:rsidRPr="00275094">
          <w:rPr>
            <w:rStyle w:val="Hyperlink"/>
            <w:rFonts w:ascii="Gisha" w:hAnsi="Gisha" w:cs="Gisha"/>
            <w:sz w:val="24"/>
            <w:szCs w:val="24"/>
          </w:rPr>
          <w:t>amanda.l.ashe@maine.edu</w:t>
        </w:r>
      </w:hyperlink>
      <w:r w:rsidRPr="00C5447A">
        <w:rPr>
          <w:rFonts w:ascii="Gisha" w:hAnsi="Gisha" w:cs="Gisha"/>
          <w:sz w:val="24"/>
          <w:szCs w:val="24"/>
        </w:rPr>
        <w:t xml:space="preserve"> or </w:t>
      </w:r>
      <w:r w:rsidR="007657F6" w:rsidRPr="00C5447A">
        <w:rPr>
          <w:rFonts w:ascii="Gisha" w:hAnsi="Gisha" w:cs="Gisha"/>
          <w:sz w:val="24"/>
          <w:szCs w:val="24"/>
        </w:rPr>
        <w:t>207-</w:t>
      </w:r>
      <w:r w:rsidRPr="00C5447A">
        <w:rPr>
          <w:rFonts w:ascii="Gisha" w:hAnsi="Gisha" w:cs="Gisha"/>
          <w:sz w:val="24"/>
          <w:szCs w:val="24"/>
        </w:rPr>
        <w:t>581-1480.</w:t>
      </w:r>
    </w:p>
    <w:sectPr w:rsidR="008B4379" w:rsidRPr="00C5447A" w:rsidSect="001A6C6F">
      <w:footerReference w:type="default" r:id="rId11"/>
      <w:pgSz w:w="12240" w:h="20160" w:code="5"/>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D2EC" w14:textId="77777777" w:rsidR="001D4842" w:rsidRDefault="001D4842" w:rsidP="001D4842">
      <w:r>
        <w:separator/>
      </w:r>
    </w:p>
  </w:endnote>
  <w:endnote w:type="continuationSeparator" w:id="0">
    <w:p w14:paraId="1D07677E" w14:textId="77777777" w:rsidR="001D4842" w:rsidRDefault="001D4842" w:rsidP="001D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Malgun Gothic Semilight"/>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4DD" w14:textId="7ED76453" w:rsidR="001D4842" w:rsidRDefault="001D4842">
    <w:pPr>
      <w:pStyle w:val="Footer"/>
    </w:pPr>
    <w:r>
      <w:ptab w:relativeTo="margin" w:alignment="center" w:leader="none"/>
    </w:r>
    <w:r>
      <w:ptab w:relativeTo="margin" w:alignment="right" w:leader="none"/>
    </w:r>
    <w: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C9CB" w14:textId="77777777" w:rsidR="001D4842" w:rsidRDefault="001D4842" w:rsidP="001D4842">
      <w:r>
        <w:separator/>
      </w:r>
    </w:p>
  </w:footnote>
  <w:footnote w:type="continuationSeparator" w:id="0">
    <w:p w14:paraId="009FC2D2" w14:textId="77777777" w:rsidR="001D4842" w:rsidRDefault="001D4842" w:rsidP="001D4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6528"/>
    <w:multiLevelType w:val="hybridMultilevel"/>
    <w:tmpl w:val="560C9C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F68128C"/>
    <w:multiLevelType w:val="multilevel"/>
    <w:tmpl w:val="9CEE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C6426"/>
    <w:multiLevelType w:val="hybridMultilevel"/>
    <w:tmpl w:val="BA6068FA"/>
    <w:lvl w:ilvl="0" w:tplc="70501C9A">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5AC86E18"/>
    <w:multiLevelType w:val="hybridMultilevel"/>
    <w:tmpl w:val="E202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D66ED"/>
    <w:multiLevelType w:val="hybridMultilevel"/>
    <w:tmpl w:val="B524B8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602760863">
    <w:abstractNumId w:val="1"/>
  </w:num>
  <w:num w:numId="2" w16cid:durableId="401567072">
    <w:abstractNumId w:val="3"/>
  </w:num>
  <w:num w:numId="3" w16cid:durableId="1002127776">
    <w:abstractNumId w:val="2"/>
  </w:num>
  <w:num w:numId="4" w16cid:durableId="808019096">
    <w:abstractNumId w:val="0"/>
  </w:num>
  <w:num w:numId="5" w16cid:durableId="1533035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7A"/>
    <w:rsid w:val="00016BA7"/>
    <w:rsid w:val="00021D28"/>
    <w:rsid w:val="00022A95"/>
    <w:rsid w:val="00041C85"/>
    <w:rsid w:val="00053879"/>
    <w:rsid w:val="00074CD2"/>
    <w:rsid w:val="00097B28"/>
    <w:rsid w:val="000B277F"/>
    <w:rsid w:val="000C6955"/>
    <w:rsid w:val="000F1D1D"/>
    <w:rsid w:val="00150781"/>
    <w:rsid w:val="001A6C6F"/>
    <w:rsid w:val="001D4842"/>
    <w:rsid w:val="00216B22"/>
    <w:rsid w:val="002315BC"/>
    <w:rsid w:val="00240914"/>
    <w:rsid w:val="002554D4"/>
    <w:rsid w:val="00265037"/>
    <w:rsid w:val="0028376B"/>
    <w:rsid w:val="002D3C33"/>
    <w:rsid w:val="002E056A"/>
    <w:rsid w:val="002E1426"/>
    <w:rsid w:val="002E3FA7"/>
    <w:rsid w:val="00320A78"/>
    <w:rsid w:val="00364937"/>
    <w:rsid w:val="00375444"/>
    <w:rsid w:val="003840A0"/>
    <w:rsid w:val="004046B5"/>
    <w:rsid w:val="00436A8C"/>
    <w:rsid w:val="00457DB5"/>
    <w:rsid w:val="004620C9"/>
    <w:rsid w:val="00487CEF"/>
    <w:rsid w:val="004B41B6"/>
    <w:rsid w:val="004E09EB"/>
    <w:rsid w:val="004E20AC"/>
    <w:rsid w:val="00516EA4"/>
    <w:rsid w:val="00577563"/>
    <w:rsid w:val="005C2C50"/>
    <w:rsid w:val="00637380"/>
    <w:rsid w:val="00656869"/>
    <w:rsid w:val="006F31A0"/>
    <w:rsid w:val="006F7989"/>
    <w:rsid w:val="007062EA"/>
    <w:rsid w:val="007652F1"/>
    <w:rsid w:val="007657F6"/>
    <w:rsid w:val="0080282A"/>
    <w:rsid w:val="00826019"/>
    <w:rsid w:val="008A1810"/>
    <w:rsid w:val="008B4379"/>
    <w:rsid w:val="00927488"/>
    <w:rsid w:val="00937338"/>
    <w:rsid w:val="009A2711"/>
    <w:rsid w:val="009A65BD"/>
    <w:rsid w:val="00AA57FF"/>
    <w:rsid w:val="00AF70CC"/>
    <w:rsid w:val="00B1618E"/>
    <w:rsid w:val="00B261D3"/>
    <w:rsid w:val="00C02B4F"/>
    <w:rsid w:val="00C34A76"/>
    <w:rsid w:val="00C5447A"/>
    <w:rsid w:val="00C7566C"/>
    <w:rsid w:val="00C93179"/>
    <w:rsid w:val="00CD02F1"/>
    <w:rsid w:val="00D06D65"/>
    <w:rsid w:val="00D12C2D"/>
    <w:rsid w:val="00D17D7A"/>
    <w:rsid w:val="00D54EA5"/>
    <w:rsid w:val="00DA2FAC"/>
    <w:rsid w:val="00DC498C"/>
    <w:rsid w:val="00DD0FF5"/>
    <w:rsid w:val="00E04114"/>
    <w:rsid w:val="00E04DD6"/>
    <w:rsid w:val="00E119E8"/>
    <w:rsid w:val="00E52710"/>
    <w:rsid w:val="00E54F69"/>
    <w:rsid w:val="00E63928"/>
    <w:rsid w:val="00E96752"/>
    <w:rsid w:val="00EA32B5"/>
    <w:rsid w:val="00EE55AC"/>
    <w:rsid w:val="00F13166"/>
    <w:rsid w:val="00F22E73"/>
    <w:rsid w:val="00F23B17"/>
    <w:rsid w:val="00F62615"/>
    <w:rsid w:val="00F94C61"/>
    <w:rsid w:val="00FC6959"/>
    <w:rsid w:val="00FF4DEE"/>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4CEE"/>
  <w15:docId w15:val="{8A76C736-CB12-473F-877F-0660CB20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B5"/>
  </w:style>
  <w:style w:type="paragraph" w:styleId="Heading1">
    <w:name w:val="heading 1"/>
    <w:basedOn w:val="Title"/>
    <w:next w:val="Normal"/>
    <w:link w:val="Heading1Char"/>
    <w:uiPriority w:val="9"/>
    <w:qFormat/>
    <w:rsid w:val="00E119E8"/>
    <w:pPr>
      <w:outlineLvl w:val="0"/>
    </w:pPr>
    <w:rPr>
      <w:noProof/>
      <w:color w:val="FFFFFF" w:themeColor="background1"/>
    </w:rPr>
  </w:style>
  <w:style w:type="paragraph" w:styleId="Heading2">
    <w:name w:val="heading 2"/>
    <w:basedOn w:val="Normal"/>
    <w:link w:val="Heading2Char"/>
    <w:uiPriority w:val="9"/>
    <w:qFormat/>
    <w:rsid w:val="00E119E8"/>
    <w:pPr>
      <w:ind w:left="-540" w:right="-540"/>
      <w:outlineLvl w:val="1"/>
    </w:pPr>
    <w:rPr>
      <w:rFonts w:ascii="Gisha" w:hAnsi="Gisha" w:cs="Gisha"/>
      <w:b/>
      <w:color w:val="17365D"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9E8"/>
    <w:rPr>
      <w:rFonts w:ascii="Gisha" w:hAnsi="Gisha" w:cs="Gisha"/>
      <w:b/>
      <w:color w:val="17365D" w:themeColor="text2" w:themeShade="BF"/>
      <w:sz w:val="24"/>
      <w:szCs w:val="24"/>
    </w:rPr>
  </w:style>
  <w:style w:type="paragraph" w:styleId="NormalWeb">
    <w:name w:val="Normal (Web)"/>
    <w:basedOn w:val="Normal"/>
    <w:uiPriority w:val="99"/>
    <w:semiHidden/>
    <w:unhideWhenUsed/>
    <w:rsid w:val="00D17D7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5037"/>
    <w:rPr>
      <w:color w:val="1F497D" w:themeColor="text2"/>
      <w:u w:val="single"/>
    </w:rPr>
  </w:style>
  <w:style w:type="character" w:customStyle="1" w:styleId="style1">
    <w:name w:val="style1"/>
    <w:basedOn w:val="DefaultParagraphFont"/>
    <w:rsid w:val="00D17D7A"/>
  </w:style>
  <w:style w:type="character" w:styleId="Strong">
    <w:name w:val="Strong"/>
    <w:basedOn w:val="DefaultParagraphFont"/>
    <w:uiPriority w:val="22"/>
    <w:qFormat/>
    <w:rsid w:val="00D17D7A"/>
    <w:rPr>
      <w:b/>
      <w:bCs/>
    </w:rPr>
  </w:style>
  <w:style w:type="paragraph" w:styleId="BalloonText">
    <w:name w:val="Balloon Text"/>
    <w:basedOn w:val="Normal"/>
    <w:link w:val="BalloonTextChar"/>
    <w:uiPriority w:val="99"/>
    <w:semiHidden/>
    <w:unhideWhenUsed/>
    <w:rsid w:val="00D17D7A"/>
    <w:rPr>
      <w:rFonts w:ascii="Tahoma" w:hAnsi="Tahoma" w:cs="Tahoma"/>
      <w:sz w:val="16"/>
      <w:szCs w:val="16"/>
    </w:rPr>
  </w:style>
  <w:style w:type="character" w:customStyle="1" w:styleId="BalloonTextChar">
    <w:name w:val="Balloon Text Char"/>
    <w:basedOn w:val="DefaultParagraphFont"/>
    <w:link w:val="BalloonText"/>
    <w:uiPriority w:val="99"/>
    <w:semiHidden/>
    <w:rsid w:val="00D17D7A"/>
    <w:rPr>
      <w:rFonts w:ascii="Tahoma" w:hAnsi="Tahoma" w:cs="Tahoma"/>
      <w:sz w:val="16"/>
      <w:szCs w:val="16"/>
    </w:rPr>
  </w:style>
  <w:style w:type="paragraph" w:customStyle="1" w:styleId="BodyText1">
    <w:name w:val="Body Text 1"/>
    <w:rsid w:val="00375444"/>
    <w:pPr>
      <w:spacing w:after="240" w:line="320" w:lineRule="atLeast"/>
    </w:pPr>
    <w:rPr>
      <w:rFonts w:ascii="Lucida Sans Unicode" w:eastAsia="Times New Roman" w:hAnsi="Lucida Sans Unicode" w:cs="Arial"/>
      <w:spacing w:val="-5"/>
    </w:rPr>
  </w:style>
  <w:style w:type="paragraph" w:styleId="ListParagraph">
    <w:name w:val="List Paragraph"/>
    <w:basedOn w:val="Normal"/>
    <w:uiPriority w:val="34"/>
    <w:qFormat/>
    <w:rsid w:val="008B4379"/>
    <w:pPr>
      <w:ind w:left="720"/>
      <w:contextualSpacing/>
    </w:pPr>
  </w:style>
  <w:style w:type="table" w:styleId="TableGrid">
    <w:name w:val="Table Grid"/>
    <w:basedOn w:val="TableNormal"/>
    <w:uiPriority w:val="39"/>
    <w:rsid w:val="008B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6C6F"/>
    <w:pPr>
      <w:spacing w:before="100" w:beforeAutospacing="1" w:after="100" w:afterAutospacing="1"/>
      <w:jc w:val="center"/>
      <w:outlineLvl w:val="1"/>
    </w:pPr>
    <w:rPr>
      <w:rFonts w:ascii="Gisha" w:eastAsia="Times New Roman" w:hAnsi="Gisha" w:cs="Gisha"/>
      <w:b/>
      <w:bCs/>
      <w:spacing w:val="20"/>
      <w:sz w:val="40"/>
      <w:szCs w:val="40"/>
    </w:rPr>
  </w:style>
  <w:style w:type="character" w:customStyle="1" w:styleId="TitleChar">
    <w:name w:val="Title Char"/>
    <w:basedOn w:val="DefaultParagraphFont"/>
    <w:link w:val="Title"/>
    <w:uiPriority w:val="10"/>
    <w:rsid w:val="001A6C6F"/>
    <w:rPr>
      <w:rFonts w:ascii="Gisha" w:eastAsia="Times New Roman" w:hAnsi="Gisha" w:cs="Gisha"/>
      <w:b/>
      <w:bCs/>
      <w:spacing w:val="20"/>
      <w:sz w:val="40"/>
      <w:szCs w:val="40"/>
    </w:rPr>
  </w:style>
  <w:style w:type="character" w:customStyle="1" w:styleId="Heading1Char">
    <w:name w:val="Heading 1 Char"/>
    <w:basedOn w:val="DefaultParagraphFont"/>
    <w:link w:val="Heading1"/>
    <w:uiPriority w:val="9"/>
    <w:rsid w:val="00E119E8"/>
    <w:rPr>
      <w:rFonts w:ascii="Gisha" w:eastAsia="Times New Roman" w:hAnsi="Gisha" w:cs="Gisha"/>
      <w:b/>
      <w:bCs/>
      <w:noProof/>
      <w:color w:val="FFFFFF" w:themeColor="background1"/>
      <w:spacing w:val="20"/>
      <w:sz w:val="40"/>
      <w:szCs w:val="40"/>
    </w:rPr>
  </w:style>
  <w:style w:type="paragraph" w:styleId="Caption">
    <w:name w:val="caption"/>
    <w:basedOn w:val="Normal"/>
    <w:next w:val="Normal"/>
    <w:uiPriority w:val="35"/>
    <w:unhideWhenUsed/>
    <w:qFormat/>
    <w:rsid w:val="002D3C3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AF70CC"/>
    <w:rPr>
      <w:color w:val="605E5C"/>
      <w:shd w:val="clear" w:color="auto" w:fill="E1DFDD"/>
    </w:rPr>
  </w:style>
  <w:style w:type="paragraph" w:styleId="Header">
    <w:name w:val="header"/>
    <w:basedOn w:val="Normal"/>
    <w:link w:val="HeaderChar"/>
    <w:uiPriority w:val="99"/>
    <w:unhideWhenUsed/>
    <w:rsid w:val="001D4842"/>
    <w:pPr>
      <w:tabs>
        <w:tab w:val="center" w:pos="4680"/>
        <w:tab w:val="right" w:pos="9360"/>
      </w:tabs>
    </w:pPr>
  </w:style>
  <w:style w:type="character" w:customStyle="1" w:styleId="HeaderChar">
    <w:name w:val="Header Char"/>
    <w:basedOn w:val="DefaultParagraphFont"/>
    <w:link w:val="Header"/>
    <w:uiPriority w:val="99"/>
    <w:rsid w:val="001D4842"/>
  </w:style>
  <w:style w:type="paragraph" w:styleId="Footer">
    <w:name w:val="footer"/>
    <w:basedOn w:val="Normal"/>
    <w:link w:val="FooterChar"/>
    <w:uiPriority w:val="99"/>
    <w:unhideWhenUsed/>
    <w:rsid w:val="001D4842"/>
    <w:pPr>
      <w:tabs>
        <w:tab w:val="center" w:pos="4680"/>
        <w:tab w:val="right" w:pos="9360"/>
      </w:tabs>
    </w:pPr>
  </w:style>
  <w:style w:type="character" w:customStyle="1" w:styleId="FooterChar">
    <w:name w:val="Footer Char"/>
    <w:basedOn w:val="DefaultParagraphFont"/>
    <w:link w:val="Footer"/>
    <w:uiPriority w:val="99"/>
    <w:rsid w:val="001D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25161">
      <w:bodyDiv w:val="1"/>
      <w:marLeft w:val="0"/>
      <w:marRight w:val="0"/>
      <w:marTop w:val="0"/>
      <w:marBottom w:val="0"/>
      <w:divBdr>
        <w:top w:val="none" w:sz="0" w:space="0" w:color="auto"/>
        <w:left w:val="none" w:sz="0" w:space="0" w:color="auto"/>
        <w:bottom w:val="none" w:sz="0" w:space="0" w:color="auto"/>
        <w:right w:val="none" w:sz="0" w:space="0" w:color="auto"/>
      </w:divBdr>
      <w:divsChild>
        <w:div w:id="236596676">
          <w:marLeft w:val="0"/>
          <w:marRight w:val="0"/>
          <w:marTop w:val="0"/>
          <w:marBottom w:val="0"/>
          <w:divBdr>
            <w:top w:val="none" w:sz="0" w:space="0" w:color="auto"/>
            <w:left w:val="none" w:sz="0" w:space="0" w:color="auto"/>
            <w:bottom w:val="none" w:sz="0" w:space="0" w:color="auto"/>
            <w:right w:val="none" w:sz="0" w:space="0" w:color="auto"/>
          </w:divBdr>
        </w:div>
      </w:divsChild>
    </w:div>
    <w:div w:id="12482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anda.l.ashe@maine.edu" TargetMode="External"/><Relationship Id="rId4" Type="http://schemas.openxmlformats.org/officeDocument/2006/relationships/settings" Target="settings.xml"/><Relationship Id="rId9" Type="http://schemas.openxmlformats.org/officeDocument/2006/relationships/hyperlink" Target="https://umaine.edu/research-compliance/export-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DCD9-C45F-4F17-A18E-91C345DD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Ashe</dc:creator>
  <cp:lastModifiedBy>Cara Doiron</cp:lastModifiedBy>
  <cp:revision>24</cp:revision>
  <cp:lastPrinted>2017-06-14T16:04:00Z</cp:lastPrinted>
  <dcterms:created xsi:type="dcterms:W3CDTF">2021-06-29T12:41:00Z</dcterms:created>
  <dcterms:modified xsi:type="dcterms:W3CDTF">2024-02-02T17:38:00Z</dcterms:modified>
</cp:coreProperties>
</file>