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Open Sans" w:cs="Open Sans" w:eastAsia="Open Sans" w:hAnsi="Open Sans"/>
          <w:sz w:val="20"/>
          <w:szCs w:val="20"/>
          <w:vertAlign w:val="baseline"/>
        </w:rPr>
      </w:pPr>
      <w:r w:rsidDel="00000000" w:rsidR="00000000" w:rsidRPr="00000000">
        <w:rPr/>
        <w:drawing>
          <wp:anchor allowOverlap="1" behindDoc="0" distB="0" distT="0" distL="118745" distR="118745" hidden="0" layoutInCell="1" locked="0" relativeHeight="0" simplePos="0">
            <wp:simplePos x="0" y="0"/>
            <wp:positionH relativeFrom="page">
              <wp:posOffset>951230</wp:posOffset>
            </wp:positionH>
            <wp:positionV relativeFrom="page">
              <wp:posOffset>340995</wp:posOffset>
            </wp:positionV>
            <wp:extent cx="5885180" cy="755650"/>
            <wp:effectExtent b="0" l="0" r="0" t="0"/>
            <wp:wrapSquare wrapText="bothSides" distB="0" distT="0" distL="118745" distR="118745"/>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885180" cy="755650"/>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jc w:val="center"/>
        <w:rPr>
          <w:rFonts w:ascii="Open Sans" w:cs="Open Sans" w:eastAsia="Open Sans" w:hAnsi="Open Sans"/>
          <w:sz w:val="20"/>
          <w:szCs w:val="20"/>
          <w:vertAlign w:val="baseline"/>
        </w:rPr>
      </w:pPr>
      <w:r w:rsidDel="00000000" w:rsidR="00000000" w:rsidRPr="00000000">
        <w:rPr>
          <w:rtl w:val="0"/>
        </w:rPr>
      </w:r>
    </w:p>
    <w:p w:rsidR="00000000" w:rsidDel="00000000" w:rsidP="00000000" w:rsidRDefault="00000000" w:rsidRPr="00000000" w14:paraId="00000003">
      <w:pPr>
        <w:jc w:val="cente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Syllabus Template</w:t>
      </w:r>
    </w:p>
    <w:p w:rsidR="00000000" w:rsidDel="00000000" w:rsidP="00000000" w:rsidRDefault="00000000" w:rsidRPr="00000000" w14:paraId="00000004">
      <w:pPr>
        <w:jc w:val="cente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(cut, paste and modify for your course)</w:t>
      </w:r>
    </w:p>
    <w:p w:rsidR="00000000" w:rsidDel="00000000" w:rsidP="00000000" w:rsidRDefault="00000000" w:rsidRPr="00000000" w14:paraId="00000005">
      <w:pPr>
        <w:jc w:val="cente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06">
      <w:pPr>
        <w:jc w:val="cente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Course Description and Syllabus</w:t>
      </w:r>
    </w:p>
    <w:p w:rsidR="00000000" w:rsidDel="00000000" w:rsidP="00000000" w:rsidRDefault="00000000" w:rsidRPr="00000000" w14:paraId="00000007">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08">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Course Information</w:t>
      </w:r>
    </w:p>
    <w:p w:rsidR="00000000" w:rsidDel="00000000" w:rsidP="00000000" w:rsidRDefault="00000000" w:rsidRPr="00000000" w14:paraId="00000009">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0A">
      <w:pPr>
        <w:jc w:val="cente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Course designator, number, and full title</w:t>
      </w:r>
    </w:p>
    <w:p w:rsidR="00000000" w:rsidDel="00000000" w:rsidP="00000000" w:rsidRDefault="00000000" w:rsidRPr="00000000" w14:paraId="0000000B">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0C">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Course description:</w:t>
      </w:r>
    </w:p>
    <w:p w:rsidR="00000000" w:rsidDel="00000000" w:rsidP="00000000" w:rsidRDefault="00000000" w:rsidRPr="00000000" w14:paraId="0000000D">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0E">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Number of credit hours:</w:t>
      </w:r>
    </w:p>
    <w:p w:rsidR="00000000" w:rsidDel="00000000" w:rsidP="00000000" w:rsidRDefault="00000000" w:rsidRPr="00000000" w14:paraId="0000000F">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10">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Prerequisites (previous courses, knowledge, and skills):</w:t>
      </w:r>
    </w:p>
    <w:p w:rsidR="00000000" w:rsidDel="00000000" w:rsidP="00000000" w:rsidRDefault="00000000" w:rsidRPr="00000000" w14:paraId="00000011">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12">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General Education requirements satisfied (if applicable):</w:t>
      </w:r>
    </w:p>
    <w:p w:rsidR="00000000" w:rsidDel="00000000" w:rsidP="00000000" w:rsidRDefault="00000000" w:rsidRPr="00000000" w14:paraId="00000013">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14">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URL for syllabus/course (if available and if you choose to make it available)</w:t>
      </w:r>
    </w:p>
    <w:p w:rsidR="00000000" w:rsidDel="00000000" w:rsidP="00000000" w:rsidRDefault="00000000" w:rsidRPr="00000000" w14:paraId="00000015">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16">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Faculty Information</w:t>
      </w:r>
    </w:p>
    <w:p w:rsidR="00000000" w:rsidDel="00000000" w:rsidP="00000000" w:rsidRDefault="00000000" w:rsidRPr="00000000" w14:paraId="00000017">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18">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Name:</w:t>
      </w:r>
    </w:p>
    <w:p w:rsidR="00000000" w:rsidDel="00000000" w:rsidP="00000000" w:rsidRDefault="00000000" w:rsidRPr="00000000" w14:paraId="00000019">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1A">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Phone, fax numbers:</w:t>
      </w:r>
    </w:p>
    <w:p w:rsidR="00000000" w:rsidDel="00000000" w:rsidP="00000000" w:rsidRDefault="00000000" w:rsidRPr="00000000" w14:paraId="0000001B">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1C">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Email address:</w:t>
      </w:r>
    </w:p>
    <w:p w:rsidR="00000000" w:rsidDel="00000000" w:rsidP="00000000" w:rsidRDefault="00000000" w:rsidRPr="00000000" w14:paraId="0000001D">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1E">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Where students may leave physical messages/assignments for you:  </w:t>
      </w:r>
    </w:p>
    <w:p w:rsidR="00000000" w:rsidDel="00000000" w:rsidP="00000000" w:rsidRDefault="00000000" w:rsidRPr="00000000" w14:paraId="0000001F">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20">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Your office hours:</w:t>
      </w:r>
    </w:p>
    <w:p w:rsidR="00000000" w:rsidDel="00000000" w:rsidP="00000000" w:rsidRDefault="00000000" w:rsidRPr="00000000" w14:paraId="00000021">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22">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Instructional Materials and Methods</w:t>
      </w:r>
    </w:p>
    <w:p w:rsidR="00000000" w:rsidDel="00000000" w:rsidP="00000000" w:rsidRDefault="00000000" w:rsidRPr="00000000" w14:paraId="00000023">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24">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Textbook title(s) and other required course materials:  </w:t>
      </w:r>
    </w:p>
    <w:p w:rsidR="00000000" w:rsidDel="00000000" w:rsidP="00000000" w:rsidRDefault="00000000" w:rsidRPr="00000000" w14:paraId="00000025">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26">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List of references and reserve materials:</w:t>
      </w:r>
    </w:p>
    <w:p w:rsidR="00000000" w:rsidDel="00000000" w:rsidP="00000000" w:rsidRDefault="00000000" w:rsidRPr="00000000" w14:paraId="00000027">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28">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If non-traditional teaching methods are used, please describe.</w:t>
      </w:r>
    </w:p>
    <w:p w:rsidR="00000000" w:rsidDel="00000000" w:rsidP="00000000" w:rsidRDefault="00000000" w:rsidRPr="00000000" w14:paraId="00000029">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2A">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Student Learning Outcomes — (Required for ALL courses and General Education categories)</w:t>
      </w:r>
    </w:p>
    <w:p w:rsidR="00000000" w:rsidDel="00000000" w:rsidP="00000000" w:rsidRDefault="00000000" w:rsidRPr="00000000" w14:paraId="0000002B">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2C">
      <w:pPr>
        <w:widowControl w:val="0"/>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Course Goals:</w:t>
      </w:r>
    </w:p>
    <w:p w:rsidR="00000000" w:rsidDel="00000000" w:rsidP="00000000" w:rsidRDefault="00000000" w:rsidRPr="00000000" w14:paraId="0000002D">
      <w:pPr>
        <w:widowControl w:val="0"/>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Instructional Objectives:</w:t>
      </w:r>
    </w:p>
    <w:p w:rsidR="00000000" w:rsidDel="00000000" w:rsidP="00000000" w:rsidRDefault="00000000" w:rsidRPr="00000000" w14:paraId="0000002E">
      <w:pPr>
        <w:widowControl w:val="0"/>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2F">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Student Learning Outcomes:</w:t>
      </w:r>
    </w:p>
    <w:p w:rsidR="00000000" w:rsidDel="00000000" w:rsidP="00000000" w:rsidRDefault="00000000" w:rsidRPr="00000000" w14:paraId="00000030">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31">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Grading and Course Expectations</w:t>
      </w:r>
    </w:p>
    <w:p w:rsidR="00000000" w:rsidDel="00000000" w:rsidP="00000000" w:rsidRDefault="00000000" w:rsidRPr="00000000" w14:paraId="00000032">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33">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Your grading criteria:</w:t>
      </w:r>
    </w:p>
    <w:p w:rsidR="00000000" w:rsidDel="00000000" w:rsidP="00000000" w:rsidRDefault="00000000" w:rsidRPr="00000000" w14:paraId="00000034">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35">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Components of final course grade and relative contribution of each to final grade:</w:t>
      </w:r>
    </w:p>
    <w:p w:rsidR="00000000" w:rsidDel="00000000" w:rsidP="00000000" w:rsidRDefault="00000000" w:rsidRPr="00000000" w14:paraId="00000036">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37">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Expectations for student engagement “beyond” the classroom wall (if applicable)</w:t>
      </w:r>
    </w:p>
    <w:p w:rsidR="00000000" w:rsidDel="00000000" w:rsidP="00000000" w:rsidRDefault="00000000" w:rsidRPr="00000000" w14:paraId="00000038">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39">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Any “hidden” factors, such as active participation, etc.:</w:t>
      </w:r>
    </w:p>
    <w:p w:rsidR="00000000" w:rsidDel="00000000" w:rsidP="00000000" w:rsidRDefault="00000000" w:rsidRPr="00000000" w14:paraId="0000003A">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3B">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Tentative exam schedule:</w:t>
      </w:r>
    </w:p>
    <w:p w:rsidR="00000000" w:rsidDel="00000000" w:rsidP="00000000" w:rsidRDefault="00000000" w:rsidRPr="00000000" w14:paraId="0000003C">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3D">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Your Policies:</w:t>
      </w:r>
    </w:p>
    <w:p w:rsidR="00000000" w:rsidDel="00000000" w:rsidP="00000000" w:rsidRDefault="00000000" w:rsidRPr="00000000" w14:paraId="0000003E">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3F">
      <w:pPr>
        <w:numPr>
          <w:ilvl w:val="0"/>
          <w:numId w:val="1"/>
        </w:numPr>
        <w:ind w:left="720" w:hanging="360"/>
        <w:rPr>
          <w:sz w:val="20"/>
          <w:szCs w:val="20"/>
        </w:rPr>
      </w:pPr>
      <w:r w:rsidDel="00000000" w:rsidR="00000000" w:rsidRPr="00000000">
        <w:rPr>
          <w:rFonts w:ascii="FormaDJRText" w:cs="FormaDJRText" w:eastAsia="FormaDJRText" w:hAnsi="FormaDJRText"/>
          <w:sz w:val="20"/>
          <w:szCs w:val="20"/>
          <w:vertAlign w:val="baseline"/>
          <w:rtl w:val="0"/>
        </w:rPr>
        <w:t xml:space="preserve">Attendance and class participation:</w:t>
      </w:r>
    </w:p>
    <w:p w:rsidR="00000000" w:rsidDel="00000000" w:rsidP="00000000" w:rsidRDefault="00000000" w:rsidRPr="00000000" w14:paraId="00000040">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41">
      <w:pPr>
        <w:numPr>
          <w:ilvl w:val="0"/>
          <w:numId w:val="1"/>
        </w:numPr>
        <w:ind w:left="720" w:hanging="360"/>
        <w:rPr>
          <w:sz w:val="20"/>
          <w:szCs w:val="20"/>
        </w:rPr>
      </w:pPr>
      <w:r w:rsidDel="00000000" w:rsidR="00000000" w:rsidRPr="00000000">
        <w:rPr>
          <w:rFonts w:ascii="FormaDJRText" w:cs="FormaDJRText" w:eastAsia="FormaDJRText" w:hAnsi="FormaDJRText"/>
          <w:sz w:val="20"/>
          <w:szCs w:val="20"/>
          <w:vertAlign w:val="baseline"/>
          <w:rtl w:val="0"/>
        </w:rPr>
        <w:t xml:space="preserve">Late assignments, make-up, retake and reschedule exams; and extra credit:</w:t>
      </w:r>
    </w:p>
    <w:p w:rsidR="00000000" w:rsidDel="00000000" w:rsidP="00000000" w:rsidRDefault="00000000" w:rsidRPr="00000000" w14:paraId="00000042">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43">
      <w:pPr>
        <w:numPr>
          <w:ilvl w:val="0"/>
          <w:numId w:val="1"/>
        </w:numPr>
        <w:ind w:left="720" w:hanging="360"/>
        <w:rPr>
          <w:sz w:val="20"/>
          <w:szCs w:val="20"/>
        </w:rPr>
      </w:pPr>
      <w:r w:rsidDel="00000000" w:rsidR="00000000" w:rsidRPr="00000000">
        <w:rPr>
          <w:rFonts w:ascii="FormaDJRText" w:cs="FormaDJRText" w:eastAsia="FormaDJRText" w:hAnsi="FormaDJRText"/>
          <w:sz w:val="20"/>
          <w:szCs w:val="20"/>
          <w:vertAlign w:val="baseline"/>
          <w:rtl w:val="0"/>
        </w:rPr>
        <w:t xml:space="preserve">Incomplete work:</w:t>
      </w:r>
    </w:p>
    <w:p w:rsidR="00000000" w:rsidDel="00000000" w:rsidP="00000000" w:rsidRDefault="00000000" w:rsidRPr="00000000" w14:paraId="00000044">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45">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There are two policy statements required for every syllabus at the University of Maine.</w:t>
      </w:r>
    </w:p>
    <w:p w:rsidR="00000000" w:rsidDel="00000000" w:rsidP="00000000" w:rsidRDefault="00000000" w:rsidRPr="00000000" w14:paraId="00000046">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47">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Academic honesty (plagiarism, etc.) Academic dishonesty includes cheating, plagiarism and all forms of misrepresentation in academic work, and is unacceptable at the University of Maine. As stated in the University of Maine’s online undergraduate “Student Handbook,” plagiarism (the submission of another’s work without appropriate attribution) and cheating are violations of the University of Maine Student Conduct Code. An instructor who has probable cause or reason to believe a student has cheated may act upon such evidence, and should report the case to the supervising faculty member or the Department Chair for appropriate action.  </w:t>
      </w:r>
    </w:p>
    <w:p w:rsidR="00000000" w:rsidDel="00000000" w:rsidP="00000000" w:rsidRDefault="00000000" w:rsidRPr="00000000" w14:paraId="00000048">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49">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Students with disabilities statement: If you have a disability for which you may be requesting an accommodation, please contact Ann Smith, Director of Disabilities Services, 121 East Annex, 207.581.2319, as early as possible in the term.  </w:t>
      </w:r>
    </w:p>
    <w:p w:rsidR="00000000" w:rsidDel="00000000" w:rsidP="00000000" w:rsidRDefault="00000000" w:rsidRPr="00000000" w14:paraId="0000004A">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4B">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Other possible inclusions:</w:t>
      </w:r>
    </w:p>
    <w:p w:rsidR="00000000" w:rsidDel="00000000" w:rsidP="00000000" w:rsidRDefault="00000000" w:rsidRPr="00000000" w14:paraId="0000004C">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4D">
      <w:pPr>
        <w:numPr>
          <w:ilvl w:val="0"/>
          <w:numId w:val="2"/>
        </w:numPr>
        <w:ind w:left="720" w:hanging="360"/>
        <w:rPr>
          <w:sz w:val="20"/>
          <w:szCs w:val="20"/>
        </w:rPr>
      </w:pPr>
      <w:r w:rsidDel="00000000" w:rsidR="00000000" w:rsidRPr="00000000">
        <w:rPr>
          <w:rFonts w:ascii="FormaDJRText" w:cs="FormaDJRText" w:eastAsia="FormaDJRText" w:hAnsi="FormaDJRText"/>
          <w:sz w:val="20"/>
          <w:szCs w:val="20"/>
          <w:vertAlign w:val="baseline"/>
          <w:rtl w:val="0"/>
        </w:rPr>
        <w:t xml:space="preserve">Some faculty also find it helpful to include a statement about classroom civility.</w:t>
      </w:r>
    </w:p>
    <w:p w:rsidR="00000000" w:rsidDel="00000000" w:rsidP="00000000" w:rsidRDefault="00000000" w:rsidRPr="00000000" w14:paraId="0000004E">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4F">
      <w:pPr>
        <w:numPr>
          <w:ilvl w:val="0"/>
          <w:numId w:val="2"/>
        </w:numPr>
        <w:ind w:left="720" w:hanging="360"/>
        <w:rPr>
          <w:sz w:val="20"/>
          <w:szCs w:val="20"/>
        </w:rPr>
      </w:pPr>
      <w:r w:rsidDel="00000000" w:rsidR="00000000" w:rsidRPr="00000000">
        <w:rPr>
          <w:rFonts w:ascii="FormaDJRText" w:cs="FormaDJRText" w:eastAsia="FormaDJRText" w:hAnsi="FormaDJRText"/>
          <w:sz w:val="20"/>
          <w:szCs w:val="20"/>
          <w:vertAlign w:val="baseline"/>
          <w:rtl w:val="0"/>
        </w:rPr>
        <w:t xml:space="preserve">Depending upon your course content, you may also wish to include a statement about inclusive or non-sexist language. The University of Maine’s non-sexist language policy may be viewed online (umaine.edu/womensstudies/home/non-sexist-language-policy).</w:t>
      </w:r>
    </w:p>
    <w:p w:rsidR="00000000" w:rsidDel="00000000" w:rsidP="00000000" w:rsidRDefault="00000000" w:rsidRPr="00000000" w14:paraId="00000050">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51">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Course Schedule</w:t>
      </w:r>
    </w:p>
    <w:p w:rsidR="00000000" w:rsidDel="00000000" w:rsidP="00000000" w:rsidRDefault="00000000" w:rsidRPr="00000000" w14:paraId="00000052">
      <w:pPr>
        <w:rPr>
          <w:rFonts w:ascii="FormaDJRText" w:cs="FormaDJRText" w:eastAsia="FormaDJRText" w:hAnsi="FormaDJRText"/>
          <w:b w:val="0"/>
          <w:sz w:val="20"/>
          <w:szCs w:val="20"/>
          <w:vertAlign w:val="baseline"/>
        </w:rPr>
      </w:pPr>
      <w:r w:rsidDel="00000000" w:rsidR="00000000" w:rsidRPr="00000000">
        <w:rPr>
          <w:rtl w:val="0"/>
        </w:rPr>
      </w:r>
    </w:p>
    <w:p w:rsidR="00000000" w:rsidDel="00000000" w:rsidP="00000000" w:rsidRDefault="00000000" w:rsidRPr="00000000" w14:paraId="00000053">
      <w:pPr>
        <w:widowControl w:val="0"/>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In the event of an extended disruption of normal classroom activities, the format for this course may be modified to enable its completion within its programmed time frame. In that event, you will be provided an addendum to the syllabus that will supersede this version.</w:t>
      </w:r>
    </w:p>
    <w:p w:rsidR="00000000" w:rsidDel="00000000" w:rsidP="00000000" w:rsidRDefault="00000000" w:rsidRPr="00000000" w14:paraId="00000054">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55">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56">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Please note in your course schedule:</w:t>
      </w:r>
    </w:p>
    <w:p w:rsidR="00000000" w:rsidDel="00000000" w:rsidP="00000000" w:rsidRDefault="00000000" w:rsidRPr="00000000" w14:paraId="00000057">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58">
      <w:pPr>
        <w:numPr>
          <w:ilvl w:val="0"/>
          <w:numId w:val="3"/>
        </w:numPr>
        <w:ind w:left="720" w:hanging="360"/>
        <w:rPr>
          <w:sz w:val="20"/>
          <w:szCs w:val="20"/>
        </w:rPr>
      </w:pPr>
      <w:r w:rsidDel="00000000" w:rsidR="00000000" w:rsidRPr="00000000">
        <w:rPr>
          <w:rFonts w:ascii="FormaDJRText" w:cs="FormaDJRText" w:eastAsia="FormaDJRText" w:hAnsi="FormaDJRText"/>
          <w:sz w:val="20"/>
          <w:szCs w:val="20"/>
          <w:vertAlign w:val="baseline"/>
          <w:rtl w:val="0"/>
        </w:rPr>
        <w:t xml:space="preserve">Topics</w:t>
      </w:r>
    </w:p>
    <w:p w:rsidR="00000000" w:rsidDel="00000000" w:rsidP="00000000" w:rsidRDefault="00000000" w:rsidRPr="00000000" w14:paraId="00000059">
      <w:pPr>
        <w:numPr>
          <w:ilvl w:val="0"/>
          <w:numId w:val="3"/>
        </w:numPr>
        <w:ind w:left="720" w:hanging="360"/>
        <w:rPr>
          <w:sz w:val="20"/>
          <w:szCs w:val="20"/>
        </w:rPr>
      </w:pPr>
      <w:r w:rsidDel="00000000" w:rsidR="00000000" w:rsidRPr="00000000">
        <w:rPr>
          <w:rFonts w:ascii="FormaDJRText" w:cs="FormaDJRText" w:eastAsia="FormaDJRText" w:hAnsi="FormaDJRText"/>
          <w:sz w:val="20"/>
          <w:szCs w:val="20"/>
          <w:vertAlign w:val="baseline"/>
          <w:rtl w:val="0"/>
        </w:rPr>
        <w:t xml:space="preserve">Learning activities (both in-class and out-of-class)</w:t>
      </w:r>
    </w:p>
    <w:p w:rsidR="00000000" w:rsidDel="00000000" w:rsidP="00000000" w:rsidRDefault="00000000" w:rsidRPr="00000000" w14:paraId="0000005A">
      <w:pPr>
        <w:numPr>
          <w:ilvl w:val="0"/>
          <w:numId w:val="3"/>
        </w:numPr>
        <w:ind w:left="720" w:hanging="360"/>
        <w:rPr>
          <w:sz w:val="20"/>
          <w:szCs w:val="20"/>
        </w:rPr>
      </w:pPr>
      <w:r w:rsidDel="00000000" w:rsidR="00000000" w:rsidRPr="00000000">
        <w:rPr>
          <w:rFonts w:ascii="FormaDJRText" w:cs="FormaDJRText" w:eastAsia="FormaDJRText" w:hAnsi="FormaDJRText"/>
          <w:sz w:val="20"/>
          <w:szCs w:val="20"/>
          <w:vertAlign w:val="baseline"/>
          <w:rtl w:val="0"/>
        </w:rPr>
        <w:t xml:space="preserve">Assignments</w:t>
      </w:r>
    </w:p>
    <w:p w:rsidR="00000000" w:rsidDel="00000000" w:rsidP="00000000" w:rsidRDefault="00000000" w:rsidRPr="00000000" w14:paraId="0000005B">
      <w:pPr>
        <w:numPr>
          <w:ilvl w:val="0"/>
          <w:numId w:val="3"/>
        </w:numPr>
        <w:ind w:left="720" w:hanging="360"/>
        <w:rPr>
          <w:sz w:val="20"/>
          <w:szCs w:val="20"/>
        </w:rPr>
      </w:pPr>
      <w:r w:rsidDel="00000000" w:rsidR="00000000" w:rsidRPr="00000000">
        <w:rPr>
          <w:rFonts w:ascii="FormaDJRText" w:cs="FormaDJRText" w:eastAsia="FormaDJRText" w:hAnsi="FormaDJRText"/>
          <w:sz w:val="20"/>
          <w:szCs w:val="20"/>
          <w:vertAlign w:val="baseline"/>
          <w:rtl w:val="0"/>
        </w:rPr>
        <w:t xml:space="preserve">Quizzes, exams and projects</w:t>
      </w:r>
    </w:p>
    <w:p w:rsidR="00000000" w:rsidDel="00000000" w:rsidP="00000000" w:rsidRDefault="00000000" w:rsidRPr="00000000" w14:paraId="0000005C">
      <w:pPr>
        <w:numPr>
          <w:ilvl w:val="0"/>
          <w:numId w:val="3"/>
        </w:numPr>
        <w:ind w:left="720" w:hanging="360"/>
        <w:rPr>
          <w:sz w:val="20"/>
          <w:szCs w:val="20"/>
        </w:rPr>
      </w:pPr>
      <w:r w:rsidDel="00000000" w:rsidR="00000000" w:rsidRPr="00000000">
        <w:rPr>
          <w:rFonts w:ascii="FormaDJRText" w:cs="FormaDJRText" w:eastAsia="FormaDJRText" w:hAnsi="FormaDJRText"/>
          <w:sz w:val="20"/>
          <w:szCs w:val="20"/>
          <w:vertAlign w:val="baseline"/>
          <w:rtl w:val="0"/>
        </w:rPr>
        <w:t xml:space="preserve">Due dates</w:t>
      </w:r>
    </w:p>
    <w:p w:rsidR="00000000" w:rsidDel="00000000" w:rsidP="00000000" w:rsidRDefault="00000000" w:rsidRPr="00000000" w14:paraId="0000005D">
      <w:pPr>
        <w:numPr>
          <w:ilvl w:val="0"/>
          <w:numId w:val="3"/>
        </w:numPr>
        <w:ind w:left="720" w:hanging="360"/>
        <w:rPr>
          <w:sz w:val="20"/>
          <w:szCs w:val="20"/>
        </w:rPr>
      </w:pPr>
      <w:r w:rsidDel="00000000" w:rsidR="00000000" w:rsidRPr="00000000">
        <w:rPr>
          <w:rFonts w:ascii="FormaDJRText" w:cs="FormaDJRText" w:eastAsia="FormaDJRText" w:hAnsi="FormaDJRText"/>
          <w:sz w:val="20"/>
          <w:szCs w:val="20"/>
          <w:vertAlign w:val="baseline"/>
          <w:rtl w:val="0"/>
        </w:rPr>
        <w:t xml:space="preserve">Breaks (Fall Break, Thanksgiving, Spring Break)</w:t>
      </w:r>
    </w:p>
    <w:p w:rsidR="00000000" w:rsidDel="00000000" w:rsidP="00000000" w:rsidRDefault="00000000" w:rsidRPr="00000000" w14:paraId="0000005E">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 </w:t>
      </w:r>
    </w:p>
    <w:p w:rsidR="00000000" w:rsidDel="00000000" w:rsidP="00000000" w:rsidRDefault="00000000" w:rsidRPr="00000000" w14:paraId="0000005F">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Schedule of Assignments — one possible format</w:t>
      </w:r>
    </w:p>
    <w:p w:rsidR="00000000" w:rsidDel="00000000" w:rsidP="00000000" w:rsidRDefault="00000000" w:rsidRPr="00000000" w14:paraId="00000060">
      <w:pPr>
        <w:rPr>
          <w:rFonts w:ascii="FormaDJRText" w:cs="FormaDJRText" w:eastAsia="FormaDJRText" w:hAnsi="FormaDJRText"/>
          <w:sz w:val="20"/>
          <w:szCs w:val="20"/>
          <w:vertAlign w:val="baseline"/>
        </w:rPr>
      </w:pPr>
      <w:r w:rsidDel="00000000" w:rsidR="00000000" w:rsidRPr="00000000">
        <w:rPr>
          <w:rtl w:val="0"/>
        </w:rPr>
      </w:r>
    </w:p>
    <w:tbl>
      <w:tblPr>
        <w:tblStyle w:val="Table1"/>
        <w:tblW w:w="88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76"/>
        <w:gridCol w:w="1476"/>
        <w:gridCol w:w="1476"/>
        <w:gridCol w:w="1476"/>
        <w:gridCol w:w="1476"/>
        <w:gridCol w:w="1476"/>
        <w:tblGridChange w:id="0">
          <w:tblGrid>
            <w:gridCol w:w="1476"/>
            <w:gridCol w:w="1476"/>
            <w:gridCol w:w="1476"/>
            <w:gridCol w:w="1476"/>
            <w:gridCol w:w="1476"/>
            <w:gridCol w:w="147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1">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Week 1 </w:t>
            </w:r>
          </w:p>
          <w:p w:rsidR="00000000" w:rsidDel="00000000" w:rsidP="00000000" w:rsidRDefault="00000000" w:rsidRPr="00000000" w14:paraId="00000062">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Date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3">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topics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4">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assignments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5">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readings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6">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due dates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7">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etc.</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8">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Week 2 </w:t>
            </w:r>
          </w:p>
          <w:p w:rsidR="00000000" w:rsidDel="00000000" w:rsidP="00000000" w:rsidRDefault="00000000" w:rsidRPr="00000000" w14:paraId="00000069">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Date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A">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topics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B">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assignments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C">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readings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D">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due dates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E">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etc.</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F">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Week 3 </w:t>
            </w:r>
          </w:p>
          <w:p w:rsidR="00000000" w:rsidDel="00000000" w:rsidP="00000000" w:rsidRDefault="00000000" w:rsidRPr="00000000" w14:paraId="00000070">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Date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1">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topics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2">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assignments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3">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readings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4">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due dates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5">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etc.</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6">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Week 4 </w:t>
            </w:r>
          </w:p>
          <w:p w:rsidR="00000000" w:rsidDel="00000000" w:rsidP="00000000" w:rsidRDefault="00000000" w:rsidRPr="00000000" w14:paraId="00000077">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Date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8">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topics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9">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assignments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A">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readings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B">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due dates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C">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etc.</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D">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Week 5 </w:t>
            </w:r>
          </w:p>
          <w:p w:rsidR="00000000" w:rsidDel="00000000" w:rsidP="00000000" w:rsidRDefault="00000000" w:rsidRPr="00000000" w14:paraId="0000007E">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Date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F">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topics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0">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assignments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1">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readings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2">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due dates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3">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etc.</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4">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Week 6 </w:t>
            </w:r>
          </w:p>
          <w:p w:rsidR="00000000" w:rsidDel="00000000" w:rsidP="00000000" w:rsidRDefault="00000000" w:rsidRPr="00000000" w14:paraId="00000085">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Date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6">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topics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7">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assignments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8">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readings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9">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due dates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A">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etc.</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B">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Week 7 </w:t>
            </w:r>
          </w:p>
          <w:p w:rsidR="00000000" w:rsidDel="00000000" w:rsidP="00000000" w:rsidRDefault="00000000" w:rsidRPr="00000000" w14:paraId="0000008C">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Date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D">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topics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E">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assignments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F">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readings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0">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due dates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1">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etc.</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2">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Week 8 </w:t>
            </w:r>
          </w:p>
          <w:p w:rsidR="00000000" w:rsidDel="00000000" w:rsidP="00000000" w:rsidRDefault="00000000" w:rsidRPr="00000000" w14:paraId="00000093">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Date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4">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topics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5">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assignments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6">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readings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7">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due dates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8">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etc.</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9">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Week 9 </w:t>
            </w:r>
          </w:p>
          <w:p w:rsidR="00000000" w:rsidDel="00000000" w:rsidP="00000000" w:rsidRDefault="00000000" w:rsidRPr="00000000" w14:paraId="0000009A">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Date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B">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topics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C">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assignments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D">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readings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E">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due dates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F">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etc.</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0">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Week 10 </w:t>
            </w:r>
          </w:p>
          <w:p w:rsidR="00000000" w:rsidDel="00000000" w:rsidP="00000000" w:rsidRDefault="00000000" w:rsidRPr="00000000" w14:paraId="000000A1">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Date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2">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topics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3">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assignments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4">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readings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5">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due dates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6">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etc.</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7">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Week 11 </w:t>
            </w:r>
          </w:p>
          <w:p w:rsidR="00000000" w:rsidDel="00000000" w:rsidP="00000000" w:rsidRDefault="00000000" w:rsidRPr="00000000" w14:paraId="000000A8">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Date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9">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topics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A">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assignments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B">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readings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C">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due dates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D">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etc.</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E">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Week 12 </w:t>
            </w:r>
          </w:p>
          <w:p w:rsidR="00000000" w:rsidDel="00000000" w:rsidP="00000000" w:rsidRDefault="00000000" w:rsidRPr="00000000" w14:paraId="000000AF">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Date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0">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topics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1">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assignments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2">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readings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3">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due dates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4">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etc.</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5">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Week 13 </w:t>
            </w:r>
          </w:p>
          <w:p w:rsidR="00000000" w:rsidDel="00000000" w:rsidP="00000000" w:rsidRDefault="00000000" w:rsidRPr="00000000" w14:paraId="000000B6">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Date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7">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topics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8">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assignments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9">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readings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A">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due dates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B">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etc.</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C">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Week 14 </w:t>
            </w:r>
          </w:p>
          <w:p w:rsidR="00000000" w:rsidDel="00000000" w:rsidP="00000000" w:rsidRDefault="00000000" w:rsidRPr="00000000" w14:paraId="000000BD">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Date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E">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topics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F">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assignments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0">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readings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1">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due dates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2">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etc.</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3">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Week 15 </w:t>
            </w:r>
          </w:p>
          <w:p w:rsidR="00000000" w:rsidDel="00000000" w:rsidP="00000000" w:rsidRDefault="00000000" w:rsidRPr="00000000" w14:paraId="000000C4">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Date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5">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topics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6">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assignments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7">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readings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8">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due dates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9">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etc.</w:t>
            </w:r>
          </w:p>
        </w:tc>
      </w:tr>
    </w:tbl>
    <w:p w:rsidR="00000000" w:rsidDel="00000000" w:rsidP="00000000" w:rsidRDefault="00000000" w:rsidRPr="00000000" w14:paraId="000000CA">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CB">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Final date for all work to be in, unless other arrangements have been made with instructor:</w:t>
      </w:r>
    </w:p>
    <w:p w:rsidR="00000000" w:rsidDel="00000000" w:rsidP="00000000" w:rsidRDefault="00000000" w:rsidRPr="00000000" w14:paraId="000000CC">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CD">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CE">
      <w:pPr>
        <w:rPr>
          <w:rFonts w:ascii="FormaDJRText" w:cs="FormaDJRText" w:eastAsia="FormaDJRText" w:hAnsi="FormaDJRText"/>
          <w:sz w:val="20"/>
          <w:szCs w:val="20"/>
          <w:vertAlign w:val="baseline"/>
        </w:rPr>
      </w:pPr>
      <w:r w:rsidDel="00000000" w:rsidR="00000000" w:rsidRPr="00000000">
        <w:rPr>
          <w:rFonts w:ascii="FormaDJRText" w:cs="FormaDJRText" w:eastAsia="FormaDJRText" w:hAnsi="FormaDJRText"/>
          <w:sz w:val="20"/>
          <w:szCs w:val="20"/>
          <w:vertAlign w:val="baseline"/>
          <w:rtl w:val="0"/>
        </w:rPr>
        <w:t xml:space="preserve">If you have a disability for which you may be requesting an accommodation, please contact Ann Smith, Director of Disability Services in East Annex, 207.581.2319, as early as possible in the term.</w:t>
      </w:r>
    </w:p>
    <w:p w:rsidR="00000000" w:rsidDel="00000000" w:rsidP="00000000" w:rsidRDefault="00000000" w:rsidRPr="00000000" w14:paraId="000000CF">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D0">
      <w:pPr>
        <w:rPr>
          <w:rFonts w:ascii="FormaDJRText" w:cs="FormaDJRText" w:eastAsia="FormaDJRText" w:hAnsi="FormaDJRText"/>
          <w:sz w:val="20"/>
          <w:szCs w:val="20"/>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FormaDJRText" w:cs="FormaDJRText" w:eastAsia="FormaDJRText" w:hAnsi="FormaDJRText"/>
          <w:b w:val="0"/>
          <w:i w:val="0"/>
          <w:smallCaps w:val="0"/>
          <w:strike w:val="0"/>
          <w:color w:val="002a5b"/>
          <w:sz w:val="12"/>
          <w:szCs w:val="12"/>
          <w:u w:val="none"/>
          <w:shd w:fill="auto" w:val="clear"/>
          <w:vertAlign w:val="baseline"/>
        </w:rPr>
      </w:pPr>
      <w:r w:rsidDel="00000000" w:rsidR="00000000" w:rsidRPr="00000000">
        <w:rPr>
          <w:rFonts w:ascii="FormaDJRText" w:cs="FormaDJRText" w:eastAsia="FormaDJRText" w:hAnsi="FormaDJRText"/>
          <w:b w:val="1"/>
          <w:i w:val="0"/>
          <w:smallCaps w:val="0"/>
          <w:strike w:val="0"/>
          <w:color w:val="000000"/>
          <w:sz w:val="20"/>
          <w:szCs w:val="20"/>
          <w:u w:val="none"/>
          <w:shd w:fill="auto" w:val="clear"/>
          <w:vertAlign w:val="baseline"/>
          <w:rtl w:val="0"/>
        </w:rPr>
        <w:t xml:space="preserve">Nondiscrimination Notice</w:t>
        <w:br w:type="textWrapping"/>
      </w:r>
      <w:r w:rsidDel="00000000" w:rsidR="00000000" w:rsidRPr="00000000">
        <w:rPr>
          <w:rFonts w:ascii="FormaDJRText" w:cs="FormaDJRText" w:eastAsia="FormaDJRText" w:hAnsi="FormaDJRText"/>
          <w:b w:val="0"/>
          <w:i w:val="0"/>
          <w:smallCaps w:val="0"/>
          <w:strike w:val="0"/>
          <w:color w:val="0d0d0d"/>
          <w:sz w:val="18"/>
          <w:szCs w:val="18"/>
          <w:u w:val="none"/>
          <w:shd w:fill="auto" w:val="clear"/>
          <w:vertAlign w:val="baseline"/>
          <w:rtl w:val="0"/>
        </w:rPr>
        <w:t xml:space="preserve">In complying with the letter and spirit of applicable laws and pursuing its own goals of diversity, the University of Maine System does not discriminate on the grounds of race, color, religion, sex, sexual orientation, transgender status, gender, gender identity or expression, ethnicity, national origin, citizenship status, familial status, ancestry, age, disability physical or mental, genetic information, or veterans or military status in employment, education, and all other programs and activities.  The University provides reasonable accommodations to qualified individuals with disabilities upon request. The following person has been designated to handle inquiries regarding non-discrimination policies: Director of Equal Opportunity, 101 Boudreau Hall, University of Maine, Orono, ME  04469-5754, 207.581.1226, TTY 711 (Maine Relay System).</w:t>
      </w:r>
      <w:r w:rsidDel="00000000" w:rsidR="00000000" w:rsidRPr="00000000">
        <w:rPr>
          <w:rtl w:val="0"/>
        </w:rPr>
      </w:r>
    </w:p>
    <w:p w:rsidR="00000000" w:rsidDel="00000000" w:rsidP="00000000" w:rsidRDefault="00000000" w:rsidRPr="00000000" w14:paraId="000000D2">
      <w:pPr>
        <w:rPr>
          <w:rFonts w:ascii="FormaDJRText" w:cs="FormaDJRText" w:eastAsia="FormaDJRText" w:hAnsi="FormaDJRText"/>
          <w:sz w:val="20"/>
          <w:szCs w:val="20"/>
          <w:vertAlign w:val="baselin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Verdana"/>
  <w:font w:name="Georgia"/>
  <w:font w:name="FormaDJRText"/>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rFonts w:ascii="Noto Sans Symbols" w:cs="Noto Sans Symbols" w:eastAsia="Noto Sans Symbols" w:hAnsi="Noto Sans Symbols"/>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
    <w:lvl w:ilvl="0">
      <w:start w:val="0"/>
      <w:numFmt w:val="bullet"/>
      <w:lvlText w:val="●"/>
      <w:lvlJc w:val="left"/>
      <w:pPr>
        <w:ind w:left="720" w:hanging="360"/>
      </w:pPr>
      <w:rPr>
        <w:rFonts w:ascii="Noto Sans Symbols" w:cs="Noto Sans Symbols" w:eastAsia="Noto Sans Symbols" w:hAnsi="Noto Sans Symbols"/>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3">
    <w:lvl w:ilvl="0">
      <w:start w:val="0"/>
      <w:numFmt w:val="bullet"/>
      <w:lvlText w:val="●"/>
      <w:lvlJc w:val="left"/>
      <w:pPr>
        <w:ind w:left="720" w:hanging="360"/>
      </w:pPr>
      <w:rPr>
        <w:rFonts w:ascii="Noto Sans Symbols" w:cs="Noto Sans Symbols" w:eastAsia="Noto Sans Symbols" w:hAnsi="Noto Sans Symbols"/>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Verdana" w:cs="Verdana" w:eastAsia="Verdana" w:hAnsi="Verdan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