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7954" w:rsidRDefault="00F279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27954" w:rsidRDefault="00F279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Helping Your Family Get the Most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From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Your Early Start Denver Model Session</w:t>
      </w:r>
    </w:p>
    <w:p w:rsidR="0066787F" w:rsidRDefault="0066787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PURPOSE</w:t>
      </w: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purpose of ESDM is to help your child gain social, communication and play skills while supporting their overall development. Through observation and </w:t>
      </w:r>
      <w:proofErr w:type="gramStart"/>
      <w:r>
        <w:rPr>
          <w:rFonts w:ascii="Arial" w:eastAsia="Arial" w:hAnsi="Arial" w:cs="Arial"/>
          <w:sz w:val="20"/>
          <w:szCs w:val="20"/>
        </w:rPr>
        <w:t>coaching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 will learn strategies to help your child interact, communicate, and play with you and othe</w:t>
      </w:r>
      <w:r>
        <w:rPr>
          <w:rFonts w:ascii="Arial" w:eastAsia="Arial" w:hAnsi="Arial" w:cs="Arial"/>
          <w:sz w:val="20"/>
          <w:szCs w:val="20"/>
        </w:rPr>
        <w:t>rs as he/she learns to enjoy social exchanges.</w:t>
      </w:r>
    </w:p>
    <w:p w:rsidR="0066787F" w:rsidRDefault="0066787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sz w:val="20"/>
          <w:szCs w:val="20"/>
        </w:rPr>
      </w:pP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FAMILY PARTICIPATION</w:t>
      </w: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There are three participation roles for you within the ESDM:  </w:t>
      </w:r>
    </w:p>
    <w:p w:rsidR="0066787F" w:rsidRDefault="008C53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observe,</w:t>
      </w:r>
    </w:p>
    <w:p w:rsidR="0066787F" w:rsidRDefault="008C53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gain an understanding of the strategies, and</w:t>
      </w:r>
    </w:p>
    <w:p w:rsidR="0066787F" w:rsidRDefault="008C53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 use the strategies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within your everyday family </w:t>
      </w:r>
      <w:r>
        <w:rPr>
          <w:rFonts w:ascii="Arial" w:eastAsia="Arial" w:hAnsi="Arial" w:cs="Arial"/>
          <w:sz w:val="20"/>
          <w:szCs w:val="20"/>
        </w:rPr>
        <w:t>activities.</w:t>
      </w:r>
    </w:p>
    <w:p w:rsidR="0066787F" w:rsidRDefault="0066787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sz w:val="20"/>
          <w:szCs w:val="20"/>
        </w:rPr>
      </w:pP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READY TO LEARN</w:t>
      </w:r>
    </w:p>
    <w:p w:rsidR="0066787F" w:rsidRDefault="008C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 sure your child is awake and ready to play.</w:t>
      </w:r>
    </w:p>
    <w:p w:rsidR="0066787F" w:rsidRDefault="008C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Discuss the plan for snacks and meals for your child with the provider.</w:t>
      </w:r>
    </w:p>
    <w:p w:rsidR="0066787F" w:rsidRDefault="008C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Create a play area that is free from distractions.</w:t>
      </w:r>
    </w:p>
    <w:p w:rsidR="0066787F" w:rsidRDefault="0066787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sz w:val="20"/>
          <w:szCs w:val="20"/>
        </w:rPr>
      </w:pPr>
    </w:p>
    <w:p w:rsidR="0066787F" w:rsidRDefault="008C5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IMPORTANCE OF ATTENDANCE</w:t>
      </w:r>
    </w:p>
    <w:p w:rsidR="0066787F" w:rsidRDefault="008C5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Consistent attendance of agreed upon sessions allows your child to benefit most from the intervention and maximizes your child’s success.</w:t>
      </w:r>
    </w:p>
    <w:p w:rsidR="0066787F" w:rsidRDefault="008C530E">
      <w:pPr>
        <w:numPr>
          <w:ilvl w:val="0"/>
          <w:numId w:val="3"/>
        </w:num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When possible, please provide sufficient notice of the need to cancel the ESDM session by calling your PSP.  PSPs and </w:t>
      </w:r>
      <w:r>
        <w:rPr>
          <w:rFonts w:ascii="Arial" w:eastAsia="Arial" w:hAnsi="Arial" w:cs="Arial"/>
          <w:sz w:val="20"/>
          <w:szCs w:val="20"/>
        </w:rPr>
        <w:t>ESM-Cs often travel long distances to work with you and your child.</w:t>
      </w:r>
    </w:p>
    <w:p w:rsidR="0066787F" w:rsidRDefault="008C5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 to the CDS policy on attendance and missed visits. </w:t>
      </w:r>
    </w:p>
    <w:p w:rsidR="0066787F" w:rsidRDefault="008C5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appreciate the effort it takes to maintain regular and consistent visits. </w:t>
      </w:r>
    </w:p>
    <w:p w:rsidR="00F27954" w:rsidRDefault="00F27954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66787F" w:rsidRDefault="008C530E">
      <w:pPr>
        <w:spacing w:after="0" w:line="288" w:lineRule="auto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20"/>
          <w:szCs w:val="20"/>
        </w:rPr>
        <w:t>ROLES &amp; RESPONSIBILITIES OF YOUR FAMILY’S PROVIDERS</w:t>
      </w:r>
    </w:p>
    <w:tbl>
      <w:tblPr>
        <w:tblStyle w:val="a"/>
        <w:tblW w:w="10245" w:type="dxa"/>
        <w:tblInd w:w="120" w:type="dxa"/>
        <w:tblLayout w:type="fixed"/>
        <w:tblLook w:val="0600" w:firstRow="0" w:lastRow="0" w:firstColumn="0" w:lastColumn="0" w:noHBand="1" w:noVBand="1"/>
      </w:tblPr>
      <w:tblGrid>
        <w:gridCol w:w="5085"/>
        <w:gridCol w:w="5160"/>
      </w:tblGrid>
      <w:tr w:rsidR="0066787F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Primary Service Provider (PSP)</w:t>
            </w:r>
          </w:p>
          <w:p w:rsidR="0066787F" w:rsidRDefault="0066787F">
            <w:pPr>
              <w:spacing w:after="0" w:line="288" w:lineRule="auto"/>
              <w:ind w:left="15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Early Start Maine Consultant (ESM-C)</w:t>
            </w:r>
          </w:p>
        </w:tc>
      </w:tr>
      <w:tr w:rsidR="0066787F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help you with strategies to support your daily routine that will address both the IFSP outcomes and ESDM objectives,  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review the purpose of the ESDM, the time commitment, and the expectations,</w:t>
            </w:r>
          </w:p>
        </w:tc>
      </w:tr>
      <w:tr w:rsidR="0066787F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provide information about your child’s skills,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assess your child using the ESDM Checklist,</w:t>
            </w:r>
          </w:p>
        </w:tc>
      </w:tr>
      <w:tr w:rsidR="0066787F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work collaboratively with your child’s IFSP team, (of which you are a member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develop ESDM objectives that will address your child’s needs and your priorities,</w:t>
            </w:r>
          </w:p>
        </w:tc>
      </w:tr>
      <w:tr w:rsidR="0066787F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work directly with your child in meeting his/her ESDM objectives, and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provide support and consultation to the PSP as he/she works with your child, and</w:t>
            </w:r>
          </w:p>
        </w:tc>
      </w:tr>
      <w:tr w:rsidR="0066787F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monitor the progress of your child, both on the IFSP outcomes and the ESDM objectives.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787F" w:rsidRDefault="008C530E">
            <w:pPr>
              <w:spacing w:after="0" w:line="288" w:lineRule="auto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monitor the progress of your child on the ESDM objectives and on the Autism Impact Measure (AIM).</w:t>
            </w:r>
          </w:p>
        </w:tc>
      </w:tr>
    </w:tbl>
    <w:p w:rsidR="0066787F" w:rsidRDefault="0066787F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66787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50" w:right="630" w:bottom="1260" w:left="81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0E" w:rsidRDefault="008C530E">
      <w:pPr>
        <w:spacing w:after="0" w:line="240" w:lineRule="auto"/>
      </w:pPr>
      <w:r>
        <w:separator/>
      </w:r>
    </w:p>
  </w:endnote>
  <w:endnote w:type="continuationSeparator" w:id="0">
    <w:p w:rsidR="008C530E" w:rsidRDefault="008C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7F" w:rsidRDefault="008C530E">
    <w:pPr>
      <w:pBdr>
        <w:top w:val="nil"/>
        <w:left w:val="nil"/>
        <w:bottom w:val="nil"/>
        <w:right w:val="nil"/>
        <w:between w:val="nil"/>
      </w:pBdr>
      <w:tabs>
        <w:tab w:val="left" w:pos="1485"/>
      </w:tabs>
      <w:spacing w:after="0" w:line="240" w:lineRule="auto"/>
      <w:ind w:right="1440"/>
    </w:pPr>
    <w:r>
      <w:tab/>
    </w:r>
    <w:r>
      <w:tab/>
    </w:r>
  </w:p>
  <w:p w:rsidR="0066787F" w:rsidRDefault="006678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95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7F" w:rsidRDefault="008C53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95" w:line="240" w:lineRule="auto"/>
      <w:ind w:right="1080"/>
      <w:jc w:val="center"/>
    </w:pPr>
    <w:r>
      <w:rPr>
        <w:noProof/>
        <w:lang w:val="en-US"/>
      </w:rPr>
      <w:drawing>
        <wp:inline distT="0" distB="0" distL="0" distR="0">
          <wp:extent cx="3047797" cy="257175"/>
          <wp:effectExtent l="0" t="0" r="0" b="0"/>
          <wp:docPr id="2" name="image4.png" descr="C:\Users\Associate\Desktop\maier2BMP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ssociate\Desktop\maier2BMP.b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797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0E" w:rsidRDefault="008C530E">
      <w:pPr>
        <w:spacing w:after="0" w:line="240" w:lineRule="auto"/>
      </w:pPr>
      <w:r>
        <w:separator/>
      </w:r>
    </w:p>
  </w:footnote>
  <w:footnote w:type="continuationSeparator" w:id="0">
    <w:p w:rsidR="008C530E" w:rsidRDefault="008C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7F" w:rsidRDefault="006678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900" w:after="0" w:line="240" w:lineRule="auto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7F" w:rsidRDefault="008C53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900" w:after="0" w:line="240" w:lineRule="auto"/>
      <w:ind w:right="1440"/>
      <w:jc w:val="center"/>
    </w:pPr>
    <w:r>
      <w:rPr>
        <w:noProof/>
        <w:lang w:val="en-US"/>
      </w:rPr>
      <w:drawing>
        <wp:inline distT="0" distB="0" distL="0" distR="0">
          <wp:extent cx="6848475" cy="857250"/>
          <wp:effectExtent l="0" t="0" r="0" b="0"/>
          <wp:docPr id="1" name="image2.png" descr="C:\Users\Associate\Desktop\maierBMP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ssociate\Desktop\maierBMP.b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6F34"/>
    <w:multiLevelType w:val="multilevel"/>
    <w:tmpl w:val="FA0E8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3E767D"/>
    <w:multiLevelType w:val="multilevel"/>
    <w:tmpl w:val="C888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8216BE"/>
    <w:multiLevelType w:val="multilevel"/>
    <w:tmpl w:val="3F0C0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787F"/>
    <w:rsid w:val="0066787F"/>
    <w:rsid w:val="008C530E"/>
    <w:rsid w:val="00F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1FF5"/>
  <w15:docId w15:val="{63FEAE95-5C5B-4670-9333-7B440EC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Company>University of Maine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</cp:lastModifiedBy>
  <cp:revision>2</cp:revision>
  <dcterms:created xsi:type="dcterms:W3CDTF">2018-10-02T13:38:00Z</dcterms:created>
  <dcterms:modified xsi:type="dcterms:W3CDTF">2018-10-02T13:40:00Z</dcterms:modified>
</cp:coreProperties>
</file>