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AAC&amp;U CORE LEARNING OUTCOMES FOR ALL EBB BADGES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All EBB participants who reach EBB Level 3 must demonstrate 3-4 level proficiency on the following AAC&amp;U CORE learning outcomes through the evidence submitted.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NOTE: Badge Earners may choose to add additional learning outcomes/standards, up to 7.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CORE FOR ALL EBB BADGES: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w:t>
      </w:r>
      <w:r w:rsidDel="00000000" w:rsidR="00000000" w:rsidRPr="00000000">
        <w:rPr>
          <w:b w:val="1"/>
          <w:rtl w:val="0"/>
        </w:rPr>
        <w:t xml:space="preserve">INITIATIVE</w:t>
      </w:r>
      <w:r w:rsidDel="00000000" w:rsidR="00000000" w:rsidRPr="00000000">
        <w:rPr>
          <w:rtl w:val="0"/>
        </w:rPr>
        <w:t xml:space="preserve">: </w:t>
      </w:r>
      <w:r w:rsidDel="00000000" w:rsidR="00000000" w:rsidRPr="00000000">
        <w:rPr>
          <w:i w:val="1"/>
          <w:rtl w:val="0"/>
        </w:rPr>
        <w:t xml:space="preserve">Completes required work, generates and pursues opportunities to expand knowledge, skills, and abilities.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Demonstrates initiative by </w:t>
      </w:r>
      <w:r w:rsidDel="00000000" w:rsidR="00000000" w:rsidRPr="00000000">
        <w:rPr>
          <w:u w:val="single"/>
          <w:rtl w:val="0"/>
        </w:rPr>
        <w:t xml:space="preserve">registering</w:t>
      </w:r>
      <w:r w:rsidDel="00000000" w:rsidR="00000000" w:rsidRPr="00000000">
        <w:rPr>
          <w:rtl w:val="0"/>
        </w:rPr>
        <w:t xml:space="preserve"> for the EBB program, seeking out opportunities to expand their knowledge, skills, and abilities by </w:t>
      </w:r>
      <w:r w:rsidDel="00000000" w:rsidR="00000000" w:rsidRPr="00000000">
        <w:rPr>
          <w:u w:val="single"/>
          <w:rtl w:val="0"/>
        </w:rPr>
        <w:t xml:space="preserve">fulfilling Level 1, 2 and 3 badge criteria</w:t>
      </w:r>
      <w:r w:rsidDel="00000000" w:rsidR="00000000" w:rsidRPr="00000000">
        <w:rPr>
          <w:rtl w:val="0"/>
        </w:rPr>
        <w:t xml:space="preserve"> and </w:t>
      </w:r>
      <w:r w:rsidDel="00000000" w:rsidR="00000000" w:rsidRPr="00000000">
        <w:rPr>
          <w:u w:val="single"/>
          <w:rtl w:val="0"/>
        </w:rPr>
        <w:t xml:space="preserve">attending training</w:t>
      </w:r>
      <w:r w:rsidDel="00000000" w:rsidR="00000000" w:rsidRPr="00000000">
        <w:rPr>
          <w:rtl w:val="0"/>
        </w:rPr>
        <w:t xml:space="preserve"> sessions.</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tl w:val="0"/>
        </w:rPr>
        <w:t xml:space="preserve">2</w:t>
      </w:r>
      <w:r w:rsidDel="00000000" w:rsidR="00000000" w:rsidRPr="00000000">
        <w:rPr>
          <w:rtl w:val="0"/>
        </w:rPr>
        <w:t xml:space="preserve">. </w:t>
      </w:r>
      <w:r w:rsidDel="00000000" w:rsidR="00000000" w:rsidRPr="00000000">
        <w:rPr>
          <w:b w:val="1"/>
          <w:rtl w:val="0"/>
        </w:rPr>
        <w:t xml:space="preserve">INDEPENDENCE/OUTSIDE CLASSROOM:</w:t>
      </w:r>
      <w:r w:rsidDel="00000000" w:rsidR="00000000" w:rsidRPr="00000000">
        <w:rPr>
          <w:rtl w:val="0"/>
        </w:rPr>
        <w:t xml:space="preserve"> </w:t>
      </w:r>
      <w:r w:rsidDel="00000000" w:rsidR="00000000" w:rsidRPr="00000000">
        <w:rPr>
          <w:i w:val="1"/>
          <w:rtl w:val="0"/>
        </w:rPr>
        <w:t xml:space="preserve">Educational interests and pursuits exist and flourish </w:t>
      </w:r>
      <w:r w:rsidDel="00000000" w:rsidR="00000000" w:rsidRPr="00000000">
        <w:rPr>
          <w:b w:val="1"/>
          <w:i w:val="1"/>
          <w:rtl w:val="0"/>
        </w:rPr>
        <w:t xml:space="preserve">outside classroom</w:t>
      </w:r>
      <w:r w:rsidDel="00000000" w:rsidR="00000000" w:rsidRPr="00000000">
        <w:rPr>
          <w:i w:val="1"/>
          <w:rtl w:val="0"/>
        </w:rPr>
        <w:t xml:space="preserve"> requirements.  Knowledge and/or experiences are pursued independently.</w:t>
      </w:r>
    </w:p>
    <w:p w:rsidR="00000000" w:rsidDel="00000000" w:rsidP="00000000" w:rsidRDefault="00000000" w:rsidRPr="00000000">
      <w:pPr>
        <w:contextualSpacing w:val="0"/>
      </w:pPr>
      <w:r w:rsidDel="00000000" w:rsidR="00000000" w:rsidRPr="00000000">
        <w:rPr>
          <w:rtl w:val="0"/>
        </w:rPr>
        <w:t xml:space="preserve">Badges are designed to offer students </w:t>
      </w:r>
      <w:r w:rsidDel="00000000" w:rsidR="00000000" w:rsidRPr="00000000">
        <w:rPr>
          <w:b w:val="1"/>
          <w:rtl w:val="0"/>
        </w:rPr>
        <w:t xml:space="preserve">choices</w:t>
      </w:r>
      <w:r w:rsidDel="00000000" w:rsidR="00000000" w:rsidRPr="00000000">
        <w:rPr>
          <w:rtl w:val="0"/>
        </w:rPr>
        <w:t xml:space="preserve"> in ways to fulfill badge criteria, demonstrating independence. </w:t>
      </w:r>
      <w:r w:rsidDel="00000000" w:rsidR="00000000" w:rsidRPr="00000000">
        <w:rPr>
          <w:rtl w:val="0"/>
        </w:rPr>
        <w:t xml:space="preserve">Students choose from an array of experiences and/or knowledge building activities. submitting evidence to fulfill the specified “outside the classroom” criteria.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Students submit </w:t>
      </w:r>
      <w:r w:rsidDel="00000000" w:rsidR="00000000" w:rsidRPr="00000000">
        <w:rPr>
          <w:u w:val="single"/>
          <w:rtl w:val="0"/>
        </w:rPr>
        <w:t xml:space="preserve">a letter </w:t>
      </w:r>
      <w:r w:rsidDel="00000000" w:rsidR="00000000" w:rsidRPr="00000000">
        <w:rPr>
          <w:rtl w:val="0"/>
        </w:rPr>
        <w:t xml:space="preserve">from a person who can verify the outside classroom experience(s</w:t>
      </w:r>
      <w:r w:rsidDel="00000000" w:rsidR="00000000" w:rsidRPr="00000000">
        <w:rPr>
          <w:rtl w:val="0"/>
        </w:rPr>
        <w:t xml:space="preserve">) and/or training(s). </w:t>
      </w:r>
      <w:r w:rsidDel="00000000" w:rsidR="00000000" w:rsidRPr="00000000">
        <w:rPr>
          <w:rtl w:val="0"/>
        </w:rPr>
        <w:t xml:space="preserve">Other forms of evidence may be submitted (as determined by the badge developer). </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w:t>
      </w:r>
      <w:r w:rsidDel="00000000" w:rsidR="00000000" w:rsidRPr="00000000">
        <w:rPr>
          <w:b w:val="1"/>
          <w:rtl w:val="0"/>
        </w:rPr>
        <w:t xml:space="preserve">REFLECTION</w:t>
      </w:r>
      <w:r w:rsidDel="00000000" w:rsidR="00000000" w:rsidRPr="00000000">
        <w:rPr>
          <w:rtl w:val="0"/>
        </w:rPr>
        <w:t xml:space="preserve">: </w:t>
      </w:r>
      <w:r w:rsidDel="00000000" w:rsidR="00000000" w:rsidRPr="00000000">
        <w:rPr>
          <w:i w:val="1"/>
          <w:rtl w:val="0"/>
        </w:rPr>
        <w:t xml:space="preserve">Reviews prior learning (past experiences inside and outside of the classroom) in depth to reveal significantly changed perspectives about educational and life experiences, which provide foundation for expanded knowledge, growth, and maturity over time.</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Students will submit a minimum of one </w:t>
      </w:r>
      <w:r w:rsidDel="00000000" w:rsidR="00000000" w:rsidRPr="00000000">
        <w:rPr>
          <w:u w:val="single"/>
          <w:rtl w:val="0"/>
        </w:rPr>
        <w:t xml:space="preserve">reflection paper </w:t>
      </w:r>
      <w:r w:rsidDel="00000000" w:rsidR="00000000" w:rsidRPr="00000000">
        <w:rPr>
          <w:rtl w:val="0"/>
        </w:rPr>
        <w:t xml:space="preserve">that will reveal expanded knowledge, growth and development over time.</w:t>
      </w:r>
    </w:p>
    <w:p w:rsidR="00000000" w:rsidDel="00000000" w:rsidP="00000000" w:rsidRDefault="00000000" w:rsidRPr="00000000">
      <w:pPr>
        <w:contextualSpacing w:val="0"/>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Other evidence may be required to fulfill this criteria (as determined by a badge issuer).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Provost’s Engaged Black Bear Award</w:t>
      </w:r>
    </w:p>
    <w:p w:rsidR="00000000" w:rsidDel="00000000" w:rsidP="00000000" w:rsidRDefault="00000000" w:rsidRPr="00000000">
      <w:pPr>
        <w:contextualSpacing w:val="0"/>
      </w:pPr>
      <w:r w:rsidDel="00000000" w:rsidR="00000000" w:rsidRPr="00000000">
        <w:rPr>
          <w:rtl w:val="0"/>
        </w:rPr>
        <w:t xml:space="preserve">After a student earns a Level 3 badge and three more Level 1 and/or Level 2 badges, he/she is eligible to earn a UMaine EBB Provost Award. Students must fulfill the criteria for earning this award and submit their evidence.</w:t>
      </w:r>
      <w:r w:rsidDel="00000000" w:rsidR="00000000" w:rsidRPr="00000000">
        <w:rPr>
          <w:b w:val="1"/>
          <w:rtl w:val="0"/>
        </w:rPr>
        <w:t xml:space="preserve"> </w:t>
      </w:r>
      <w:r w:rsidDel="00000000" w:rsidR="00000000" w:rsidRPr="00000000">
        <w:rPr>
          <w:rtl w:val="0"/>
        </w:rPr>
        <w:t xml:space="preserve">This culminating badge aligns with dimension of the AAC&amp;U Integrative Learning and Foundations for Lifelong Learning VALUE rubrics. </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CFS, 8-22-16</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