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09B2" w14:textId="42CD95C8" w:rsidR="00933C12" w:rsidRPr="009A4932" w:rsidRDefault="00933C12" w:rsidP="00933C12">
      <w:pPr>
        <w:jc w:val="center"/>
        <w:rPr>
          <w:b/>
          <w:bCs/>
          <w:sz w:val="24"/>
          <w:szCs w:val="24"/>
        </w:rPr>
      </w:pPr>
      <w:r w:rsidRPr="009A4932">
        <w:rPr>
          <w:b/>
          <w:bCs/>
          <w:sz w:val="24"/>
          <w:szCs w:val="24"/>
        </w:rPr>
        <w:t>University of Maine</w:t>
      </w:r>
      <w:r w:rsidRPr="009A4932">
        <w:rPr>
          <w:b/>
          <w:bCs/>
          <w:sz w:val="24"/>
          <w:szCs w:val="24"/>
        </w:rPr>
        <w:br/>
        <w:t>Department</w:t>
      </w:r>
      <w:r w:rsidR="009A4932" w:rsidRPr="009A4932">
        <w:rPr>
          <w:b/>
          <w:bCs/>
          <w:sz w:val="24"/>
          <w:szCs w:val="24"/>
        </w:rPr>
        <w:t xml:space="preserve"> of Chemistry</w:t>
      </w:r>
      <w:r w:rsidRPr="009A4932">
        <w:rPr>
          <w:b/>
          <w:bCs/>
          <w:sz w:val="24"/>
          <w:szCs w:val="24"/>
        </w:rPr>
        <w:br/>
        <w:t>Seminar Presentation</w:t>
      </w:r>
    </w:p>
    <w:p w14:paraId="1B204100" w14:textId="387137E8" w:rsidR="00933C12" w:rsidRPr="009A4932" w:rsidRDefault="00933C12" w:rsidP="00933C12">
      <w:pPr>
        <w:jc w:val="center"/>
        <w:rPr>
          <w:b/>
          <w:bCs/>
          <w:sz w:val="24"/>
          <w:szCs w:val="24"/>
        </w:rPr>
      </w:pPr>
      <w:r w:rsidRPr="009A4932">
        <w:rPr>
          <w:b/>
          <w:bCs/>
          <w:sz w:val="24"/>
          <w:szCs w:val="24"/>
        </w:rPr>
        <w:t>Tuesday, April 8, 2025</w:t>
      </w:r>
      <w:r w:rsidRPr="009A4932">
        <w:rPr>
          <w:b/>
          <w:bCs/>
          <w:sz w:val="24"/>
          <w:szCs w:val="24"/>
        </w:rPr>
        <w:br/>
        <w:t>Aubert Hall 316</w:t>
      </w:r>
      <w:r w:rsidRPr="009A4932">
        <w:rPr>
          <w:b/>
          <w:bCs/>
          <w:sz w:val="24"/>
          <w:szCs w:val="24"/>
        </w:rPr>
        <w:br/>
        <w:t>11:00 AM</w:t>
      </w:r>
    </w:p>
    <w:p w14:paraId="728ED68C" w14:textId="66C9A998" w:rsidR="00DD7BA6" w:rsidRPr="009A4932" w:rsidRDefault="00DD7BA6" w:rsidP="00933C12">
      <w:pPr>
        <w:jc w:val="center"/>
        <w:rPr>
          <w:b/>
          <w:bCs/>
          <w:sz w:val="24"/>
          <w:szCs w:val="24"/>
        </w:rPr>
      </w:pPr>
      <w:r w:rsidRPr="009A4932">
        <w:rPr>
          <w:b/>
          <w:bCs/>
          <w:sz w:val="24"/>
          <w:szCs w:val="24"/>
        </w:rPr>
        <w:t>Mysteries in the Framework: Unexpected Behavior of Ni²</w:t>
      </w:r>
      <w:r w:rsidRPr="009A4932">
        <w:rPr>
          <w:rFonts w:ascii="Cambria Math" w:hAnsi="Cambria Math" w:cs="Cambria Math"/>
          <w:b/>
          <w:bCs/>
          <w:sz w:val="24"/>
          <w:szCs w:val="24"/>
        </w:rPr>
        <w:t>⁺</w:t>
      </w:r>
      <w:r w:rsidRPr="009A4932">
        <w:rPr>
          <w:b/>
          <w:bCs/>
          <w:sz w:val="24"/>
          <w:szCs w:val="24"/>
        </w:rPr>
        <w:t xml:space="preserve"> and Mn</w:t>
      </w:r>
      <w:r w:rsidRPr="009A4932">
        <w:rPr>
          <w:rFonts w:cs="Aptos"/>
          <w:b/>
          <w:bCs/>
          <w:sz w:val="24"/>
          <w:szCs w:val="24"/>
        </w:rPr>
        <w:t>²</w:t>
      </w:r>
      <w:r w:rsidRPr="009A4932">
        <w:rPr>
          <w:rFonts w:ascii="Cambria Math" w:hAnsi="Cambria Math" w:cs="Cambria Math"/>
          <w:b/>
          <w:bCs/>
          <w:sz w:val="24"/>
          <w:szCs w:val="24"/>
        </w:rPr>
        <w:t>⁺</w:t>
      </w:r>
      <w:r w:rsidRPr="009A4932">
        <w:rPr>
          <w:b/>
          <w:bCs/>
          <w:sz w:val="24"/>
          <w:szCs w:val="24"/>
        </w:rPr>
        <w:t xml:space="preserve"> in </w:t>
      </w:r>
      <w:proofErr w:type="spellStart"/>
      <w:r w:rsidRPr="009A4932">
        <w:rPr>
          <w:b/>
          <w:bCs/>
          <w:sz w:val="24"/>
          <w:szCs w:val="24"/>
        </w:rPr>
        <w:t>Ionothermal</w:t>
      </w:r>
      <w:proofErr w:type="spellEnd"/>
      <w:r w:rsidRPr="009A4932">
        <w:rPr>
          <w:b/>
          <w:bCs/>
          <w:sz w:val="24"/>
          <w:szCs w:val="24"/>
        </w:rPr>
        <w:t xml:space="preserve"> </w:t>
      </w:r>
      <w:proofErr w:type="spellStart"/>
      <w:r w:rsidRPr="009A4932">
        <w:rPr>
          <w:b/>
          <w:bCs/>
          <w:sz w:val="24"/>
          <w:szCs w:val="24"/>
        </w:rPr>
        <w:t>Aluminophosphate</w:t>
      </w:r>
      <w:proofErr w:type="spellEnd"/>
      <w:r w:rsidRPr="009A4932">
        <w:rPr>
          <w:b/>
          <w:bCs/>
          <w:sz w:val="24"/>
          <w:szCs w:val="24"/>
        </w:rPr>
        <w:t xml:space="preserve"> Synthesis</w:t>
      </w:r>
      <w:r w:rsidR="00933C12" w:rsidRPr="009A4932">
        <w:rPr>
          <w:b/>
          <w:bCs/>
          <w:sz w:val="24"/>
          <w:szCs w:val="24"/>
        </w:rPr>
        <w:br/>
        <w:t xml:space="preserve">Dr. Susan </w:t>
      </w:r>
      <w:proofErr w:type="spellStart"/>
      <w:r w:rsidR="00933C12" w:rsidRPr="009A4932">
        <w:rPr>
          <w:b/>
          <w:bCs/>
          <w:sz w:val="24"/>
          <w:szCs w:val="24"/>
        </w:rPr>
        <w:t>Citrak</w:t>
      </w:r>
      <w:proofErr w:type="spellEnd"/>
    </w:p>
    <w:p w14:paraId="052BD8C8" w14:textId="68C54256" w:rsidR="00707F0D" w:rsidRPr="009A4932" w:rsidRDefault="00707F0D">
      <w:pPr>
        <w:rPr>
          <w:b/>
          <w:bCs/>
          <w:sz w:val="24"/>
          <w:szCs w:val="24"/>
        </w:rPr>
      </w:pPr>
      <w:r w:rsidRPr="009A4932">
        <w:rPr>
          <w:b/>
          <w:bCs/>
          <w:sz w:val="24"/>
          <w:szCs w:val="24"/>
        </w:rPr>
        <w:t>Abstract:</w:t>
      </w:r>
    </w:p>
    <w:p w14:paraId="5A0C2E2B" w14:textId="5F1EC541" w:rsidR="00300261" w:rsidRPr="009A4932" w:rsidRDefault="00300261" w:rsidP="00300261">
      <w:pPr>
        <w:rPr>
          <w:sz w:val="24"/>
          <w:szCs w:val="24"/>
        </w:rPr>
      </w:pPr>
      <w:proofErr w:type="spellStart"/>
      <w:r w:rsidRPr="009A4932">
        <w:rPr>
          <w:sz w:val="24"/>
          <w:szCs w:val="24"/>
        </w:rPr>
        <w:t>Aluminophosphates</w:t>
      </w:r>
      <w:proofErr w:type="spellEnd"/>
      <w:r w:rsidRPr="009A4932">
        <w:rPr>
          <w:sz w:val="24"/>
          <w:szCs w:val="24"/>
        </w:rPr>
        <w:t xml:space="preserve"> (</w:t>
      </w:r>
      <w:proofErr w:type="spellStart"/>
      <w:r w:rsidRPr="009A4932">
        <w:rPr>
          <w:sz w:val="24"/>
          <w:szCs w:val="24"/>
        </w:rPr>
        <w:t>AlPO₄s</w:t>
      </w:r>
      <w:proofErr w:type="spellEnd"/>
      <w:r w:rsidRPr="009A4932">
        <w:rPr>
          <w:sz w:val="24"/>
          <w:szCs w:val="24"/>
        </w:rPr>
        <w:t>) are porous materials structurally analogous to zeolites, in which the typical silicon and oxygen tetrahedral framework is replaced by alternating Al³</w:t>
      </w:r>
      <w:r w:rsidRPr="009A4932">
        <w:rPr>
          <w:rFonts w:ascii="Cambria Math" w:hAnsi="Cambria Math" w:cs="Cambria Math"/>
          <w:sz w:val="24"/>
          <w:szCs w:val="24"/>
        </w:rPr>
        <w:t>⁺</w:t>
      </w:r>
      <w:r w:rsidRPr="009A4932">
        <w:rPr>
          <w:sz w:val="24"/>
          <w:szCs w:val="24"/>
        </w:rPr>
        <w:t xml:space="preserve"> and P</w:t>
      </w:r>
      <w:r w:rsidRPr="009A4932">
        <w:rPr>
          <w:rFonts w:cs="Aptos"/>
          <w:sz w:val="24"/>
          <w:szCs w:val="24"/>
        </w:rPr>
        <w:t>⁵</w:t>
      </w:r>
      <w:r w:rsidRPr="009A4932">
        <w:rPr>
          <w:rFonts w:ascii="Cambria Math" w:hAnsi="Cambria Math" w:cs="Cambria Math"/>
          <w:sz w:val="24"/>
          <w:szCs w:val="24"/>
        </w:rPr>
        <w:t>⁺</w:t>
      </w:r>
      <w:r w:rsidRPr="009A4932">
        <w:rPr>
          <w:sz w:val="24"/>
          <w:szCs w:val="24"/>
        </w:rPr>
        <w:t xml:space="preserve"> centers bridged by oxygen atoms. This results in a neutral framework that can be tuned for catalytic applications through aliovalent metal substitution</w:t>
      </w:r>
      <w:r w:rsidR="004C5AC7" w:rsidRPr="009A4932">
        <w:rPr>
          <w:rFonts w:cs="Aptos"/>
          <w:sz w:val="24"/>
          <w:szCs w:val="24"/>
        </w:rPr>
        <w:t xml:space="preserve">, </w:t>
      </w:r>
      <w:r w:rsidRPr="009A4932">
        <w:rPr>
          <w:sz w:val="24"/>
          <w:szCs w:val="24"/>
        </w:rPr>
        <w:t>replacing Al</w:t>
      </w:r>
      <w:r w:rsidRPr="009A4932">
        <w:rPr>
          <w:rFonts w:cs="Aptos"/>
          <w:sz w:val="24"/>
          <w:szCs w:val="24"/>
        </w:rPr>
        <w:t>³</w:t>
      </w:r>
      <w:r w:rsidRPr="009A4932">
        <w:rPr>
          <w:rFonts w:ascii="Cambria Math" w:hAnsi="Cambria Math" w:cs="Cambria Math"/>
          <w:sz w:val="24"/>
          <w:szCs w:val="24"/>
        </w:rPr>
        <w:t>⁺</w:t>
      </w:r>
      <w:r w:rsidRPr="009A4932">
        <w:rPr>
          <w:sz w:val="24"/>
          <w:szCs w:val="24"/>
        </w:rPr>
        <w:t xml:space="preserve"> with divalent metals (M</w:t>
      </w:r>
      <w:r w:rsidRPr="009A4932">
        <w:rPr>
          <w:rFonts w:cs="Aptos"/>
          <w:sz w:val="24"/>
          <w:szCs w:val="24"/>
        </w:rPr>
        <w:t>²</w:t>
      </w:r>
      <w:r w:rsidRPr="009A4932">
        <w:rPr>
          <w:rFonts w:ascii="Cambria Math" w:hAnsi="Cambria Math" w:cs="Cambria Math"/>
          <w:sz w:val="24"/>
          <w:szCs w:val="24"/>
        </w:rPr>
        <w:t>⁺</w:t>
      </w:r>
      <w:r w:rsidRPr="009A4932">
        <w:rPr>
          <w:sz w:val="24"/>
          <w:szCs w:val="24"/>
        </w:rPr>
        <w:t>) or P</w:t>
      </w:r>
      <w:r w:rsidRPr="009A4932">
        <w:rPr>
          <w:rFonts w:cs="Aptos"/>
          <w:sz w:val="24"/>
          <w:szCs w:val="24"/>
        </w:rPr>
        <w:t>⁵</w:t>
      </w:r>
      <w:r w:rsidRPr="009A4932">
        <w:rPr>
          <w:rFonts w:ascii="Cambria Math" w:hAnsi="Cambria Math" w:cs="Cambria Math"/>
          <w:sz w:val="24"/>
          <w:szCs w:val="24"/>
        </w:rPr>
        <w:t>⁺</w:t>
      </w:r>
      <w:r w:rsidRPr="009A4932">
        <w:rPr>
          <w:sz w:val="24"/>
          <w:szCs w:val="24"/>
        </w:rPr>
        <w:t xml:space="preserve"> with tetravalent metals (M</w:t>
      </w:r>
      <w:r w:rsidRPr="009A4932">
        <w:rPr>
          <w:rFonts w:cs="Aptos"/>
          <w:sz w:val="24"/>
          <w:szCs w:val="24"/>
        </w:rPr>
        <w:t>⁴</w:t>
      </w:r>
      <w:r w:rsidRPr="009A4932">
        <w:rPr>
          <w:rFonts w:ascii="Cambria Math" w:hAnsi="Cambria Math" w:cs="Cambria Math"/>
          <w:sz w:val="24"/>
          <w:szCs w:val="24"/>
        </w:rPr>
        <w:t>⁺</w:t>
      </w:r>
      <w:r w:rsidRPr="009A4932">
        <w:rPr>
          <w:sz w:val="24"/>
          <w:szCs w:val="24"/>
        </w:rPr>
        <w:t>)</w:t>
      </w:r>
      <w:r w:rsidR="004C5AC7" w:rsidRPr="009A4932">
        <w:rPr>
          <w:rFonts w:cs="Aptos"/>
          <w:sz w:val="24"/>
          <w:szCs w:val="24"/>
        </w:rPr>
        <w:t xml:space="preserve">, </w:t>
      </w:r>
      <w:r w:rsidRPr="009A4932">
        <w:rPr>
          <w:sz w:val="24"/>
          <w:szCs w:val="24"/>
        </w:rPr>
        <w:t>to generate Br</w:t>
      </w:r>
      <w:r w:rsidRPr="009A4932">
        <w:rPr>
          <w:rFonts w:cs="Aptos"/>
          <w:sz w:val="24"/>
          <w:szCs w:val="24"/>
        </w:rPr>
        <w:t>ø</w:t>
      </w:r>
      <w:r w:rsidRPr="009A4932">
        <w:rPr>
          <w:sz w:val="24"/>
          <w:szCs w:val="24"/>
        </w:rPr>
        <w:t>nsted acid sites.</w:t>
      </w:r>
    </w:p>
    <w:p w14:paraId="2054056F" w14:textId="541747D5" w:rsidR="00300261" w:rsidRPr="009A4932" w:rsidRDefault="00300261" w:rsidP="00300261">
      <w:pPr>
        <w:rPr>
          <w:sz w:val="24"/>
          <w:szCs w:val="24"/>
        </w:rPr>
      </w:pPr>
      <w:r w:rsidRPr="009A4932">
        <w:rPr>
          <w:sz w:val="24"/>
          <w:szCs w:val="24"/>
        </w:rPr>
        <w:t>Ionic liquids (ILs) have gained significant attention over the past three decades due to their low vapor pressure, low toxicity, and versatility as reaction media. In</w:t>
      </w:r>
      <w:r w:rsidR="00D54795" w:rsidRPr="009A4932">
        <w:rPr>
          <w:sz w:val="24"/>
          <w:szCs w:val="24"/>
        </w:rPr>
        <w:t xml:space="preserve"> “</w:t>
      </w:r>
      <w:proofErr w:type="spellStart"/>
      <w:r w:rsidR="00D54795" w:rsidRPr="009A4932">
        <w:rPr>
          <w:sz w:val="24"/>
          <w:szCs w:val="24"/>
        </w:rPr>
        <w:t>ionothermal</w:t>
      </w:r>
      <w:proofErr w:type="spellEnd"/>
      <w:r w:rsidR="00D54795" w:rsidRPr="009A4932">
        <w:rPr>
          <w:sz w:val="24"/>
          <w:szCs w:val="24"/>
        </w:rPr>
        <w:t>”</w:t>
      </w:r>
      <w:r w:rsidRPr="009A4932">
        <w:rPr>
          <w:sz w:val="24"/>
          <w:szCs w:val="24"/>
        </w:rPr>
        <w:t xml:space="preserve"> </w:t>
      </w:r>
      <w:proofErr w:type="spellStart"/>
      <w:r w:rsidRPr="009A4932">
        <w:rPr>
          <w:sz w:val="24"/>
          <w:szCs w:val="24"/>
        </w:rPr>
        <w:t>aluminophosphate</w:t>
      </w:r>
      <w:proofErr w:type="spellEnd"/>
      <w:r w:rsidRPr="009A4932">
        <w:rPr>
          <w:sz w:val="24"/>
          <w:szCs w:val="24"/>
        </w:rPr>
        <w:t xml:space="preserve"> synthesis, ILs serve not only as solvents but also as structure-directing agents, enabling the formation of novel framework phases that are often inaccessible through conventional hydrothermal methods.</w:t>
      </w:r>
    </w:p>
    <w:p w14:paraId="526136AF" w14:textId="45148B7F" w:rsidR="00300261" w:rsidRPr="009A4932" w:rsidRDefault="00300261" w:rsidP="00300261">
      <w:pPr>
        <w:rPr>
          <w:sz w:val="24"/>
          <w:szCs w:val="24"/>
        </w:rPr>
      </w:pPr>
      <w:r w:rsidRPr="009A4932">
        <w:rPr>
          <w:sz w:val="24"/>
          <w:szCs w:val="24"/>
        </w:rPr>
        <w:t xml:space="preserve">This presentation highlights recent findings from our group on the </w:t>
      </w:r>
      <w:proofErr w:type="spellStart"/>
      <w:r w:rsidRPr="009A4932">
        <w:rPr>
          <w:sz w:val="24"/>
          <w:szCs w:val="24"/>
        </w:rPr>
        <w:t>ionothermal</w:t>
      </w:r>
      <w:proofErr w:type="spellEnd"/>
      <w:r w:rsidRPr="009A4932">
        <w:rPr>
          <w:sz w:val="24"/>
          <w:szCs w:val="24"/>
        </w:rPr>
        <w:t xml:space="preserve"> synthesis of </w:t>
      </w:r>
      <w:proofErr w:type="spellStart"/>
      <w:r w:rsidRPr="009A4932">
        <w:rPr>
          <w:sz w:val="24"/>
          <w:szCs w:val="24"/>
        </w:rPr>
        <w:t>aluminophosphates</w:t>
      </w:r>
      <w:proofErr w:type="spellEnd"/>
      <w:r w:rsidRPr="009A4932">
        <w:rPr>
          <w:sz w:val="24"/>
          <w:szCs w:val="24"/>
        </w:rPr>
        <w:t>, with a focus on incorporating Ni²</w:t>
      </w:r>
      <w:r w:rsidRPr="009A4932">
        <w:rPr>
          <w:rFonts w:ascii="Cambria Math" w:hAnsi="Cambria Math" w:cs="Cambria Math"/>
          <w:sz w:val="24"/>
          <w:szCs w:val="24"/>
        </w:rPr>
        <w:t>⁺</w:t>
      </w:r>
      <w:r w:rsidRPr="009A4932">
        <w:rPr>
          <w:sz w:val="24"/>
          <w:szCs w:val="24"/>
        </w:rPr>
        <w:t xml:space="preserve"> and Mn</w:t>
      </w:r>
      <w:r w:rsidRPr="009A4932">
        <w:rPr>
          <w:rFonts w:cs="Aptos"/>
          <w:sz w:val="24"/>
          <w:szCs w:val="24"/>
        </w:rPr>
        <w:t>²</w:t>
      </w:r>
      <w:r w:rsidRPr="009A4932">
        <w:rPr>
          <w:rFonts w:ascii="Cambria Math" w:hAnsi="Cambria Math" w:cs="Cambria Math"/>
          <w:sz w:val="24"/>
          <w:szCs w:val="24"/>
        </w:rPr>
        <w:t>⁺</w:t>
      </w:r>
      <w:r w:rsidRPr="009A4932">
        <w:rPr>
          <w:sz w:val="24"/>
          <w:szCs w:val="24"/>
        </w:rPr>
        <w:t xml:space="preserve"> into the AFI framework</w:t>
      </w:r>
      <w:r w:rsidR="004C5AC7" w:rsidRPr="009A4932">
        <w:rPr>
          <w:rFonts w:cs="Aptos"/>
          <w:sz w:val="24"/>
          <w:szCs w:val="24"/>
        </w:rPr>
        <w:t xml:space="preserve"> - </w:t>
      </w:r>
      <w:r w:rsidRPr="009A4932">
        <w:rPr>
          <w:sz w:val="24"/>
          <w:szCs w:val="24"/>
        </w:rPr>
        <w:t xml:space="preserve">an </w:t>
      </w:r>
      <w:proofErr w:type="spellStart"/>
      <w:r w:rsidRPr="009A4932">
        <w:rPr>
          <w:sz w:val="24"/>
          <w:szCs w:val="24"/>
        </w:rPr>
        <w:t>AlPO</w:t>
      </w:r>
      <w:proofErr w:type="spellEnd"/>
      <w:r w:rsidRPr="009A4932">
        <w:rPr>
          <w:rFonts w:cs="Aptos"/>
          <w:sz w:val="24"/>
          <w:szCs w:val="24"/>
        </w:rPr>
        <w:t>₄</w:t>
      </w:r>
      <w:r w:rsidRPr="009A4932">
        <w:rPr>
          <w:sz w:val="24"/>
          <w:szCs w:val="24"/>
        </w:rPr>
        <w:t xml:space="preserve"> topology known for its resistance to certain aliovalent substitutions, particularly with Ni</w:t>
      </w:r>
      <w:r w:rsidRPr="009A4932">
        <w:rPr>
          <w:rFonts w:cs="Aptos"/>
          <w:sz w:val="24"/>
          <w:szCs w:val="24"/>
        </w:rPr>
        <w:t>²</w:t>
      </w:r>
      <w:r w:rsidRPr="009A4932">
        <w:rPr>
          <w:rFonts w:ascii="Cambria Math" w:hAnsi="Cambria Math" w:cs="Cambria Math"/>
          <w:sz w:val="24"/>
          <w:szCs w:val="24"/>
        </w:rPr>
        <w:t>⁺</w:t>
      </w:r>
      <w:r w:rsidRPr="009A4932">
        <w:rPr>
          <w:sz w:val="24"/>
          <w:szCs w:val="24"/>
        </w:rPr>
        <w:t>. Interestingly, while actual metal incorporation was minimal or absent, both Ni</w:t>
      </w:r>
      <w:r w:rsidRPr="009A4932">
        <w:rPr>
          <w:rFonts w:cs="Aptos"/>
          <w:sz w:val="24"/>
          <w:szCs w:val="24"/>
        </w:rPr>
        <w:t>²</w:t>
      </w:r>
      <w:r w:rsidRPr="009A4932">
        <w:rPr>
          <w:rFonts w:ascii="Cambria Math" w:hAnsi="Cambria Math" w:cs="Cambria Math"/>
          <w:sz w:val="24"/>
          <w:szCs w:val="24"/>
        </w:rPr>
        <w:t>⁺</w:t>
      </w:r>
      <w:r w:rsidRPr="009A4932">
        <w:rPr>
          <w:sz w:val="24"/>
          <w:szCs w:val="24"/>
        </w:rPr>
        <w:t xml:space="preserve"> and Mn</w:t>
      </w:r>
      <w:r w:rsidRPr="009A4932">
        <w:rPr>
          <w:rFonts w:cs="Aptos"/>
          <w:sz w:val="24"/>
          <w:szCs w:val="24"/>
        </w:rPr>
        <w:t>²</w:t>
      </w:r>
      <w:r w:rsidRPr="009A4932">
        <w:rPr>
          <w:rFonts w:ascii="Cambria Math" w:hAnsi="Cambria Math" w:cs="Cambria Math"/>
          <w:sz w:val="24"/>
          <w:szCs w:val="24"/>
        </w:rPr>
        <w:t>⁺</w:t>
      </w:r>
      <w:r w:rsidRPr="009A4932">
        <w:rPr>
          <w:sz w:val="24"/>
          <w:szCs w:val="24"/>
        </w:rPr>
        <w:t xml:space="preserve"> exhibited strong, yet opposite, structure-directing effects. This unexpected and puzzling behavior has launched our group into deeper investigation. Additional studies explored the effects of adding water and hydrofluoric acid to this non-aqueous system, revealing further complexity in phase formation and crystallinity</w:t>
      </w:r>
      <w:r w:rsidR="002E0B49" w:rsidRPr="009A4932">
        <w:rPr>
          <w:sz w:val="24"/>
          <w:szCs w:val="24"/>
        </w:rPr>
        <w:t xml:space="preserve">, </w:t>
      </w:r>
      <w:r w:rsidRPr="009A4932">
        <w:rPr>
          <w:sz w:val="24"/>
          <w:szCs w:val="24"/>
        </w:rPr>
        <w:t>and raising even more questions.</w:t>
      </w:r>
    </w:p>
    <w:p w14:paraId="767BBCB9" w14:textId="7BD9EB26" w:rsidR="00300261" w:rsidRPr="009A4932" w:rsidRDefault="00300261" w:rsidP="00300261">
      <w:pPr>
        <w:rPr>
          <w:sz w:val="24"/>
          <w:szCs w:val="24"/>
        </w:rPr>
      </w:pPr>
      <w:r w:rsidRPr="009A4932">
        <w:rPr>
          <w:sz w:val="24"/>
          <w:szCs w:val="24"/>
        </w:rPr>
        <w:t xml:space="preserve">Together, these results not only underscore the intricate chemistry of metal substitution in AlPOs but also open the door to new mysteries in </w:t>
      </w:r>
      <w:proofErr w:type="spellStart"/>
      <w:r w:rsidRPr="009A4932">
        <w:rPr>
          <w:sz w:val="24"/>
          <w:szCs w:val="24"/>
        </w:rPr>
        <w:t>ionothermal</w:t>
      </w:r>
      <w:proofErr w:type="spellEnd"/>
      <w:r w:rsidRPr="009A4932">
        <w:rPr>
          <w:sz w:val="24"/>
          <w:szCs w:val="24"/>
        </w:rPr>
        <w:t xml:space="preserve"> synthesis</w:t>
      </w:r>
      <w:r w:rsidR="002E0B49" w:rsidRPr="009A4932">
        <w:rPr>
          <w:sz w:val="24"/>
          <w:szCs w:val="24"/>
        </w:rPr>
        <w:t xml:space="preserve"> </w:t>
      </w:r>
      <w:r w:rsidRPr="009A4932">
        <w:rPr>
          <w:sz w:val="24"/>
          <w:szCs w:val="24"/>
        </w:rPr>
        <w:t>where the unexpected is often just the beginning.</w:t>
      </w:r>
    </w:p>
    <w:p w14:paraId="6EFE33BD" w14:textId="77777777" w:rsidR="00933C12" w:rsidRPr="009A4932" w:rsidRDefault="00933C12">
      <w:pPr>
        <w:rPr>
          <w:b/>
          <w:bCs/>
          <w:sz w:val="24"/>
          <w:szCs w:val="24"/>
        </w:rPr>
      </w:pPr>
      <w:r w:rsidRPr="009A4932">
        <w:rPr>
          <w:b/>
          <w:bCs/>
          <w:sz w:val="24"/>
          <w:szCs w:val="24"/>
        </w:rPr>
        <w:br w:type="page"/>
      </w:r>
    </w:p>
    <w:p w14:paraId="43690F46" w14:textId="617C0CA6" w:rsidR="0082477A" w:rsidRPr="009A4932" w:rsidRDefault="00487D40" w:rsidP="00300261">
      <w:pPr>
        <w:rPr>
          <w:b/>
          <w:bCs/>
          <w:sz w:val="24"/>
          <w:szCs w:val="24"/>
        </w:rPr>
      </w:pPr>
      <w:r w:rsidRPr="009A4932">
        <w:rPr>
          <w:b/>
          <w:bCs/>
          <w:sz w:val="24"/>
          <w:szCs w:val="24"/>
        </w:rPr>
        <w:lastRenderedPageBreak/>
        <w:t>Bio:</w:t>
      </w:r>
    </w:p>
    <w:p w14:paraId="430C4FB8" w14:textId="280BBE54" w:rsidR="00487D40" w:rsidRPr="009A4932" w:rsidRDefault="00487D40" w:rsidP="00487D40">
      <w:pPr>
        <w:rPr>
          <w:sz w:val="24"/>
          <w:szCs w:val="24"/>
        </w:rPr>
      </w:pPr>
      <w:r w:rsidRPr="009A4932">
        <w:rPr>
          <w:sz w:val="24"/>
          <w:szCs w:val="24"/>
        </w:rPr>
        <w:t xml:space="preserve">Dr. Susan Citrak is an inorganic materials chemist with a rich background in both research and teaching. She earned her Ph.D. in Inorganic Materials Chemistry from the University of California, Santa Cruz, following a B.Sc. in Chemistry from Mills College in Oakland, California. Her early research at Mills focused on physical organic chemistry, specifically investigating unimolecular solvolysis reactions involving </w:t>
      </w:r>
      <w:proofErr w:type="spellStart"/>
      <w:r w:rsidRPr="009A4932">
        <w:rPr>
          <w:sz w:val="24"/>
          <w:szCs w:val="24"/>
        </w:rPr>
        <w:t>carbocationic</w:t>
      </w:r>
      <w:proofErr w:type="spellEnd"/>
      <w:r w:rsidRPr="009A4932">
        <w:rPr>
          <w:sz w:val="24"/>
          <w:szCs w:val="24"/>
        </w:rPr>
        <w:t xml:space="preserve"> intermediates in ionic liquid solvent systems. During her doctoral studies, she shifted her focus to inorganic materials chemistry, exploring the structure, stability, and anion exchange properties of metal-organic coordination polymers, as well as the </w:t>
      </w:r>
      <w:proofErr w:type="spellStart"/>
      <w:r w:rsidRPr="009A4932">
        <w:rPr>
          <w:sz w:val="24"/>
          <w:szCs w:val="24"/>
        </w:rPr>
        <w:t>ionothermal</w:t>
      </w:r>
      <w:proofErr w:type="spellEnd"/>
      <w:r w:rsidRPr="009A4932">
        <w:rPr>
          <w:sz w:val="24"/>
          <w:szCs w:val="24"/>
        </w:rPr>
        <w:t xml:space="preserve"> synthesis of metal-substituted </w:t>
      </w:r>
      <w:proofErr w:type="spellStart"/>
      <w:r w:rsidRPr="009A4932">
        <w:rPr>
          <w:sz w:val="24"/>
          <w:szCs w:val="24"/>
        </w:rPr>
        <w:t>aluminophosphate</w:t>
      </w:r>
      <w:proofErr w:type="spellEnd"/>
      <w:r w:rsidRPr="009A4932">
        <w:rPr>
          <w:sz w:val="24"/>
          <w:szCs w:val="24"/>
        </w:rPr>
        <w:t xml:space="preserve"> molecular sieves with potential applications in catalysis.</w:t>
      </w:r>
    </w:p>
    <w:p w14:paraId="4A5B132B" w14:textId="764D691B" w:rsidR="00487D40" w:rsidRPr="009A4932" w:rsidRDefault="00487D40" w:rsidP="00487D40">
      <w:pPr>
        <w:rPr>
          <w:sz w:val="24"/>
          <w:szCs w:val="24"/>
        </w:rPr>
      </w:pPr>
      <w:r w:rsidRPr="009A4932">
        <w:rPr>
          <w:sz w:val="24"/>
          <w:szCs w:val="24"/>
        </w:rPr>
        <w:t>In the Fall of 2024, Dr. Citrak joined the faculty at Youngstown State University, bringing over a decade of experience teaching both lower and upper-division chemistry courses. Recently, her research interests have expanded to include a new class of materials called porous liquids, which intriguingly combines her previous work with ionic liquids and solid-state materials into a single, exciting area of study.</w:t>
      </w:r>
    </w:p>
    <w:p w14:paraId="22FB43D8" w14:textId="02002CF8" w:rsidR="00487D40" w:rsidRPr="009A4932" w:rsidRDefault="00487D40" w:rsidP="00487D40">
      <w:pPr>
        <w:rPr>
          <w:sz w:val="24"/>
          <w:szCs w:val="24"/>
        </w:rPr>
      </w:pPr>
      <w:r w:rsidRPr="009A4932">
        <w:rPr>
          <w:sz w:val="24"/>
          <w:szCs w:val="24"/>
        </w:rPr>
        <w:t>Beyond her research, Dr. Citrak is deeply committed to pedagogical advancements, particularly in teaching challenging subjects to first-generation and underserved students. She is passionate about making complex chemistry accessible and engaging for all her students.</w:t>
      </w:r>
    </w:p>
    <w:p w14:paraId="28A4FEF9" w14:textId="2A375C5E" w:rsidR="00487D40" w:rsidRPr="009A4932" w:rsidRDefault="00487D40" w:rsidP="00487D40">
      <w:pPr>
        <w:rPr>
          <w:sz w:val="24"/>
          <w:szCs w:val="24"/>
        </w:rPr>
      </w:pPr>
      <w:r w:rsidRPr="009A4932">
        <w:rPr>
          <w:sz w:val="24"/>
          <w:szCs w:val="24"/>
        </w:rPr>
        <w:t>Outside of academia, Dr. Citrak holds a purple belt in Brazilian Jiu-Jitsu and enjoys spending her free time gardening, fishing, and playing video games with her family. She is excited to call Youngstown, Ohio, her new home.</w:t>
      </w:r>
    </w:p>
    <w:p w14:paraId="2D7FAD0E" w14:textId="7A174427" w:rsidR="00487D40" w:rsidRPr="009A4932" w:rsidRDefault="009A4932" w:rsidP="00487D40">
      <w:pPr>
        <w:rPr>
          <w:sz w:val="24"/>
          <w:szCs w:val="24"/>
        </w:rPr>
      </w:pPr>
      <w:r w:rsidRPr="009A4932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F4C3A0" wp14:editId="025F2B8E">
            <wp:simplePos x="0" y="0"/>
            <wp:positionH relativeFrom="margin">
              <wp:posOffset>1850390</wp:posOffset>
            </wp:positionH>
            <wp:positionV relativeFrom="margin">
              <wp:posOffset>5145405</wp:posOffset>
            </wp:positionV>
            <wp:extent cx="2245995" cy="2529205"/>
            <wp:effectExtent l="0" t="0" r="1905" b="4445"/>
            <wp:wrapTight wrapText="bothSides">
              <wp:wrapPolygon edited="0">
                <wp:start x="0" y="0"/>
                <wp:lineTo x="0" y="21475"/>
                <wp:lineTo x="21435" y="21475"/>
                <wp:lineTo x="21435" y="0"/>
                <wp:lineTo x="0" y="0"/>
              </wp:wrapPolygon>
            </wp:wrapTight>
            <wp:docPr id="1542015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9" b="21010"/>
                    <a:stretch/>
                  </pic:blipFill>
                  <pic:spPr bwMode="auto">
                    <a:xfrm>
                      <a:off x="0" y="0"/>
                      <a:ext cx="224599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14CB9" w14:textId="4028D8F0" w:rsidR="00487D40" w:rsidRPr="009A4932" w:rsidRDefault="00487D40" w:rsidP="00487D40">
      <w:pPr>
        <w:rPr>
          <w:sz w:val="24"/>
          <w:szCs w:val="24"/>
        </w:rPr>
      </w:pPr>
    </w:p>
    <w:p w14:paraId="735F0621" w14:textId="509DEB66" w:rsidR="002B5DAE" w:rsidRPr="009A4932" w:rsidRDefault="002B5DAE" w:rsidP="004E5BFB">
      <w:pPr>
        <w:rPr>
          <w:sz w:val="24"/>
          <w:szCs w:val="24"/>
        </w:rPr>
      </w:pPr>
    </w:p>
    <w:sectPr w:rsidR="002B5DAE" w:rsidRPr="009A4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FB"/>
    <w:rsid w:val="00025586"/>
    <w:rsid w:val="000503C5"/>
    <w:rsid w:val="000718FB"/>
    <w:rsid w:val="000B4EFA"/>
    <w:rsid w:val="000D2095"/>
    <w:rsid w:val="0013563B"/>
    <w:rsid w:val="001479AD"/>
    <w:rsid w:val="001566A7"/>
    <w:rsid w:val="0016351E"/>
    <w:rsid w:val="001856CC"/>
    <w:rsid w:val="002B5DAE"/>
    <w:rsid w:val="002E0B49"/>
    <w:rsid w:val="00300261"/>
    <w:rsid w:val="00300F4F"/>
    <w:rsid w:val="00355ACE"/>
    <w:rsid w:val="00364D0B"/>
    <w:rsid w:val="003674E0"/>
    <w:rsid w:val="003C26D7"/>
    <w:rsid w:val="004662B4"/>
    <w:rsid w:val="00487D40"/>
    <w:rsid w:val="004C5AC7"/>
    <w:rsid w:val="004E5BFB"/>
    <w:rsid w:val="0055770F"/>
    <w:rsid w:val="0059115A"/>
    <w:rsid w:val="005A3419"/>
    <w:rsid w:val="005F25D6"/>
    <w:rsid w:val="005F2BA5"/>
    <w:rsid w:val="006A45B0"/>
    <w:rsid w:val="00707F0D"/>
    <w:rsid w:val="007264BD"/>
    <w:rsid w:val="007C077C"/>
    <w:rsid w:val="00805EEB"/>
    <w:rsid w:val="00813393"/>
    <w:rsid w:val="0082477A"/>
    <w:rsid w:val="00830D07"/>
    <w:rsid w:val="00840BB7"/>
    <w:rsid w:val="008857A6"/>
    <w:rsid w:val="008B7BD0"/>
    <w:rsid w:val="008D18B8"/>
    <w:rsid w:val="00902FDA"/>
    <w:rsid w:val="00923ECA"/>
    <w:rsid w:val="00933C12"/>
    <w:rsid w:val="009408CC"/>
    <w:rsid w:val="009A4932"/>
    <w:rsid w:val="009D6862"/>
    <w:rsid w:val="009E166D"/>
    <w:rsid w:val="009E28BF"/>
    <w:rsid w:val="00A2010A"/>
    <w:rsid w:val="00A3216B"/>
    <w:rsid w:val="00A83634"/>
    <w:rsid w:val="00AC6E85"/>
    <w:rsid w:val="00B14AD7"/>
    <w:rsid w:val="00BC05B0"/>
    <w:rsid w:val="00C0256C"/>
    <w:rsid w:val="00C255D7"/>
    <w:rsid w:val="00C41A2C"/>
    <w:rsid w:val="00C42721"/>
    <w:rsid w:val="00C6434F"/>
    <w:rsid w:val="00D24017"/>
    <w:rsid w:val="00D54795"/>
    <w:rsid w:val="00DC6F5F"/>
    <w:rsid w:val="00DD47E3"/>
    <w:rsid w:val="00DD7BA6"/>
    <w:rsid w:val="00DE3C1B"/>
    <w:rsid w:val="00E174EF"/>
    <w:rsid w:val="00E96DAF"/>
    <w:rsid w:val="00E9752A"/>
    <w:rsid w:val="00EB3D12"/>
    <w:rsid w:val="00EC387D"/>
    <w:rsid w:val="00EE6C40"/>
    <w:rsid w:val="00F372CA"/>
    <w:rsid w:val="00F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161D"/>
  <w15:chartTrackingRefBased/>
  <w15:docId w15:val="{0DB2727B-498A-44A9-A697-8120DA5C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2</Pages>
  <Words>561</Words>
  <Characters>3203</Characters>
  <Application>Microsoft Office Word</Application>
  <DocSecurity>0</DocSecurity>
  <Lines>26</Lines>
  <Paragraphs>7</Paragraphs>
  <ScaleCrop>false</ScaleCrop>
  <Company>Youngstown State University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Citrak, PhD</dc:creator>
  <cp:keywords/>
  <dc:description/>
  <cp:lastModifiedBy>Ana Chatenever</cp:lastModifiedBy>
  <cp:revision>67</cp:revision>
  <dcterms:created xsi:type="dcterms:W3CDTF">2025-04-02T13:34:00Z</dcterms:created>
  <dcterms:modified xsi:type="dcterms:W3CDTF">2025-04-03T23:43:00Z</dcterms:modified>
</cp:coreProperties>
</file>